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EE257" w14:textId="77777777" w:rsidR="00F44063" w:rsidRPr="00B119C2" w:rsidRDefault="00F44063" w:rsidP="00F44063">
      <w:pPr>
        <w:spacing w:line="276" w:lineRule="auto"/>
        <w:jc w:val="center"/>
        <w:rPr>
          <w:rFonts w:cstheme="minorHAnsi"/>
          <w:b/>
          <w:bCs/>
          <w:sz w:val="24"/>
          <w:szCs w:val="24"/>
          <w:lang w:val="en-GB"/>
        </w:rPr>
      </w:pPr>
      <w:bookmarkStart w:id="0" w:name="_GoBack"/>
      <w:bookmarkEnd w:id="0"/>
      <w:r w:rsidRPr="00B119C2">
        <w:rPr>
          <w:rFonts w:cstheme="minorHAnsi"/>
          <w:b/>
          <w:bCs/>
          <w:sz w:val="24"/>
          <w:szCs w:val="24"/>
          <w:lang w:val="en-GB"/>
        </w:rPr>
        <w:t xml:space="preserve">Mapping practical tools that facilitate the implementation of work-based learning </w:t>
      </w:r>
    </w:p>
    <w:p w14:paraId="202DE3AC" w14:textId="43A23867" w:rsidR="00F44063" w:rsidRPr="00B119C2" w:rsidRDefault="00F44063" w:rsidP="00F44063">
      <w:pPr>
        <w:spacing w:line="276" w:lineRule="auto"/>
        <w:jc w:val="center"/>
        <w:rPr>
          <w:rFonts w:cstheme="minorHAnsi"/>
          <w:b/>
          <w:bCs/>
          <w:sz w:val="24"/>
          <w:szCs w:val="24"/>
          <w:lang w:val="en-GB"/>
        </w:rPr>
      </w:pPr>
      <w:r w:rsidRPr="00B119C2">
        <w:rPr>
          <w:rFonts w:cstheme="minorHAnsi"/>
          <w:b/>
          <w:bCs/>
          <w:sz w:val="24"/>
          <w:szCs w:val="24"/>
          <w:lang w:val="en-GB"/>
        </w:rPr>
        <w:t>In the Republic of Namibia</w:t>
      </w:r>
      <w:r w:rsidRPr="00B119C2">
        <w:rPr>
          <w:rStyle w:val="FootnoteReference"/>
          <w:rFonts w:cstheme="minorHAnsi"/>
          <w:b/>
          <w:bCs/>
          <w:sz w:val="24"/>
          <w:szCs w:val="24"/>
          <w:lang w:val="en-GB"/>
        </w:rPr>
        <w:footnoteReference w:id="1"/>
      </w:r>
    </w:p>
    <w:p w14:paraId="745F9A46" w14:textId="77777777" w:rsidR="009245B5" w:rsidRPr="00B119C2" w:rsidRDefault="009245B5" w:rsidP="009245B5">
      <w:pPr>
        <w:jc w:val="center"/>
        <w:rPr>
          <w:b/>
          <w:bCs/>
          <w:sz w:val="24"/>
          <w:szCs w:val="24"/>
          <w:lang w:val="en-GB"/>
        </w:rPr>
      </w:pPr>
    </w:p>
    <w:p w14:paraId="12AE776D" w14:textId="18553DA2" w:rsidR="009245B5" w:rsidRPr="00B119C2" w:rsidRDefault="009245B5" w:rsidP="005A6200">
      <w:pPr>
        <w:jc w:val="center"/>
        <w:rPr>
          <w:rFonts w:eastAsia="Times New Roman" w:cstheme="minorHAnsi"/>
          <w:b/>
          <w:bCs/>
          <w:sz w:val="24"/>
          <w:szCs w:val="24"/>
          <w:lang w:val="en-GB" w:eastAsia="en-GB"/>
        </w:rPr>
      </w:pPr>
      <w:r w:rsidRPr="00B119C2">
        <w:rPr>
          <w:rFonts w:cstheme="minorHAnsi"/>
          <w:b/>
          <w:bCs/>
          <w:sz w:val="24"/>
          <w:szCs w:val="24"/>
          <w:lang w:val="en-GB"/>
        </w:rPr>
        <w:t>‘</w:t>
      </w:r>
      <w:r w:rsidR="0077549A" w:rsidRPr="00B119C2">
        <w:rPr>
          <w:rFonts w:eastAsia="Times New Roman" w:cstheme="minorHAnsi"/>
          <w:b/>
          <w:bCs/>
          <w:sz w:val="24"/>
          <w:szCs w:val="24"/>
          <w:lang w:val="en-GB" w:eastAsia="en-GB"/>
        </w:rPr>
        <w:t>P</w:t>
      </w:r>
      <w:r w:rsidR="00B119C2" w:rsidRPr="00B119C2">
        <w:rPr>
          <w:rFonts w:eastAsia="Times New Roman" w:cstheme="minorHAnsi"/>
          <w:b/>
          <w:bCs/>
          <w:sz w:val="24"/>
          <w:szCs w:val="24"/>
          <w:lang w:val="en-GB" w:eastAsia="en-GB"/>
        </w:rPr>
        <w:t>rocedures and guidelines for the implementation of work-integrated learning (WIL) policy in TVET’</w:t>
      </w:r>
      <w:r w:rsidR="004547A3">
        <w:rPr>
          <w:rStyle w:val="FootnoteReference"/>
          <w:rFonts w:eastAsia="Times New Roman" w:cstheme="minorHAnsi"/>
          <w:b/>
          <w:bCs/>
          <w:sz w:val="24"/>
          <w:szCs w:val="24"/>
          <w:lang w:val="en-GB" w:eastAsia="en-GB"/>
        </w:rPr>
        <w:footnoteReference w:id="2"/>
      </w:r>
      <w:r w:rsidR="00B119C2" w:rsidRPr="00B119C2">
        <w:rPr>
          <w:rFonts w:eastAsia="Times New Roman" w:cstheme="minorHAnsi"/>
          <w:b/>
          <w:bCs/>
          <w:sz w:val="24"/>
          <w:szCs w:val="24"/>
          <w:lang w:val="en-GB" w:eastAsia="en-GB"/>
        </w:rPr>
        <w:t xml:space="preserve"> </w:t>
      </w:r>
    </w:p>
    <w:p w14:paraId="45D94388" w14:textId="77777777" w:rsidR="005A6200" w:rsidRPr="005A6200" w:rsidRDefault="005A6200" w:rsidP="005A6200">
      <w:pPr>
        <w:jc w:val="center"/>
        <w:rPr>
          <w:rFonts w:eastAsia="Times New Roman" w:cstheme="minorHAnsi"/>
          <w:b/>
          <w:bCs/>
          <w:lang w:val="en-GB" w:eastAsia="en-GB"/>
        </w:rPr>
      </w:pPr>
    </w:p>
    <w:tbl>
      <w:tblPr>
        <w:tblStyle w:val="TableGrid"/>
        <w:tblW w:w="0" w:type="auto"/>
        <w:tblLook w:val="04A0" w:firstRow="1" w:lastRow="0" w:firstColumn="1" w:lastColumn="0" w:noHBand="0" w:noVBand="1"/>
      </w:tblPr>
      <w:tblGrid>
        <w:gridCol w:w="1696"/>
        <w:gridCol w:w="7932"/>
      </w:tblGrid>
      <w:tr w:rsidR="009245B5" w:rsidRPr="00BC276E" w14:paraId="5A98F8BE" w14:textId="77777777" w:rsidTr="00221A2C">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4A285E26" w14:textId="613E4198" w:rsidR="009245B5" w:rsidRPr="00592525" w:rsidRDefault="009C1120" w:rsidP="00221A2C">
            <w:pPr>
              <w:spacing w:line="276" w:lineRule="auto"/>
              <w:rPr>
                <w:rFonts w:cstheme="minorHAnsi"/>
                <w:b/>
                <w:bCs/>
                <w:color w:val="000000" w:themeColor="text1"/>
                <w:lang w:val="en-GB"/>
              </w:rPr>
            </w:pPr>
            <w:r>
              <w:rPr>
                <w:rFonts w:cstheme="minorHAnsi"/>
                <w:b/>
                <w:bCs/>
                <w:color w:val="000000" w:themeColor="text1"/>
                <w:lang w:val="en-GB"/>
              </w:rPr>
              <w:t>Initiative</w:t>
            </w:r>
          </w:p>
        </w:tc>
        <w:tc>
          <w:tcPr>
            <w:tcW w:w="7932" w:type="dxa"/>
            <w:tcBorders>
              <w:top w:val="single" w:sz="4" w:space="0" w:color="auto"/>
              <w:left w:val="single" w:sz="4" w:space="0" w:color="auto"/>
              <w:bottom w:val="single" w:sz="4" w:space="0" w:color="auto"/>
              <w:right w:val="single" w:sz="4" w:space="0" w:color="auto"/>
            </w:tcBorders>
            <w:vAlign w:val="center"/>
            <w:hideMark/>
          </w:tcPr>
          <w:p w14:paraId="3467A37C" w14:textId="77777777" w:rsidR="009245B5" w:rsidRDefault="00773492" w:rsidP="00221A2C">
            <w:pPr>
              <w:spacing w:line="276" w:lineRule="auto"/>
              <w:rPr>
                <w:rFonts w:cstheme="minorHAnsi"/>
                <w:color w:val="000000" w:themeColor="text1"/>
                <w:lang w:val="en-GB"/>
              </w:rPr>
            </w:pPr>
            <w:r>
              <w:rPr>
                <w:rFonts w:cstheme="minorHAnsi"/>
                <w:color w:val="000000" w:themeColor="text1"/>
                <w:lang w:val="en-GB"/>
              </w:rPr>
              <w:t>An apprenticeship initiative to introduce p</w:t>
            </w:r>
            <w:r w:rsidR="00DD3228">
              <w:rPr>
                <w:rFonts w:cstheme="minorHAnsi"/>
                <w:color w:val="000000" w:themeColor="text1"/>
                <w:lang w:val="en-GB"/>
              </w:rPr>
              <w:t>rocedures and guidelines for the implementation of work-integrated learning (WIL)</w:t>
            </w:r>
            <w:r w:rsidR="00DD3228">
              <w:rPr>
                <w:rStyle w:val="FootnoteReference"/>
                <w:rFonts w:cstheme="minorHAnsi"/>
                <w:color w:val="000000" w:themeColor="text1"/>
                <w:lang w:val="en-GB"/>
              </w:rPr>
              <w:footnoteReference w:id="3"/>
            </w:r>
            <w:r w:rsidR="00DD3228">
              <w:rPr>
                <w:rFonts w:cstheme="minorHAnsi"/>
                <w:color w:val="000000" w:themeColor="text1"/>
                <w:lang w:val="en-GB"/>
              </w:rPr>
              <w:t xml:space="preserve"> policy in TVET</w:t>
            </w:r>
          </w:p>
          <w:p w14:paraId="09B0B193" w14:textId="62AD6BBF" w:rsidR="009C1120" w:rsidRPr="009C1120" w:rsidRDefault="009C1120" w:rsidP="00221A2C">
            <w:pPr>
              <w:spacing w:line="276" w:lineRule="auto"/>
              <w:rPr>
                <w:rFonts w:cstheme="minorHAnsi"/>
                <w:color w:val="000000" w:themeColor="text1"/>
                <w:lang w:val="en-GB"/>
              </w:rPr>
            </w:pPr>
            <w:r w:rsidRPr="009C1120">
              <w:rPr>
                <w:rFonts w:eastAsia="Times New Roman" w:cstheme="minorHAnsi"/>
                <w:lang w:val="en-GB" w:eastAsia="en-GB"/>
              </w:rPr>
              <w:t>Procedures and guidelines for the implementation of work-integrated learning (WIL) policy in TVET</w:t>
            </w:r>
          </w:p>
        </w:tc>
      </w:tr>
      <w:tr w:rsidR="009245B5" w:rsidRPr="00BC276E" w14:paraId="198DE20A" w14:textId="77777777" w:rsidTr="00221A2C">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398B6E89" w14:textId="2AFAD500" w:rsidR="009245B5" w:rsidRPr="00592525" w:rsidRDefault="009C1120" w:rsidP="00221A2C">
            <w:pPr>
              <w:spacing w:line="276" w:lineRule="auto"/>
              <w:rPr>
                <w:rFonts w:cstheme="minorHAnsi"/>
                <w:b/>
                <w:bCs/>
                <w:color w:val="000000" w:themeColor="text1"/>
                <w:lang w:val="en-GB"/>
              </w:rPr>
            </w:pPr>
            <w:r>
              <w:rPr>
                <w:rFonts w:cstheme="minorHAnsi"/>
                <w:b/>
                <w:bCs/>
                <w:color w:val="000000" w:themeColor="text1"/>
                <w:lang w:val="en-GB"/>
              </w:rPr>
              <w:t>Initiative</w:t>
            </w:r>
            <w:r w:rsidRPr="00592525">
              <w:rPr>
                <w:rFonts w:cstheme="minorHAnsi"/>
                <w:b/>
                <w:bCs/>
                <w:color w:val="000000" w:themeColor="text1"/>
                <w:lang w:val="en-GB"/>
              </w:rPr>
              <w:t xml:space="preserve"> </w:t>
            </w:r>
            <w:r w:rsidR="009245B5" w:rsidRPr="00592525">
              <w:rPr>
                <w:rFonts w:cstheme="minorHAnsi"/>
                <w:b/>
                <w:bCs/>
                <w:color w:val="000000" w:themeColor="text1"/>
                <w:lang w:val="en-GB"/>
              </w:rPr>
              <w:t>focus</w:t>
            </w:r>
          </w:p>
        </w:tc>
        <w:tc>
          <w:tcPr>
            <w:tcW w:w="7932" w:type="dxa"/>
            <w:tcBorders>
              <w:top w:val="single" w:sz="4" w:space="0" w:color="auto"/>
              <w:left w:val="single" w:sz="4" w:space="0" w:color="auto"/>
              <w:bottom w:val="single" w:sz="4" w:space="0" w:color="auto"/>
              <w:right w:val="single" w:sz="4" w:space="0" w:color="auto"/>
            </w:tcBorders>
            <w:hideMark/>
          </w:tcPr>
          <w:p w14:paraId="351C4B9F" w14:textId="2E668108" w:rsidR="009245B5" w:rsidRPr="00592525" w:rsidRDefault="009245B5" w:rsidP="00221A2C">
            <w:pPr>
              <w:spacing w:line="276" w:lineRule="auto"/>
              <w:rPr>
                <w:rFonts w:cstheme="minorHAnsi"/>
                <w:color w:val="000000" w:themeColor="text1"/>
                <w:lang w:val="en-GB"/>
              </w:rPr>
            </w:pPr>
            <w:r w:rsidRPr="00592525">
              <w:rPr>
                <w:rFonts w:cstheme="minorHAnsi"/>
                <w:color w:val="000000" w:themeColor="text1"/>
                <w:lang w:val="en-GB"/>
              </w:rPr>
              <w:t xml:space="preserve">This tool is aimed at </w:t>
            </w:r>
            <w:r w:rsidR="00B957D8">
              <w:rPr>
                <w:rFonts w:cstheme="minorHAnsi"/>
                <w:color w:val="000000" w:themeColor="text1"/>
                <w:lang w:val="en-GB"/>
              </w:rPr>
              <w:t>ou</w:t>
            </w:r>
            <w:r w:rsidR="00667C11">
              <w:rPr>
                <w:rFonts w:cstheme="minorHAnsi"/>
                <w:color w:val="000000" w:themeColor="text1"/>
                <w:lang w:val="en-GB"/>
              </w:rPr>
              <w:t>tlining procedures</w:t>
            </w:r>
            <w:r w:rsidR="00D0596B">
              <w:rPr>
                <w:rFonts w:cstheme="minorHAnsi"/>
                <w:color w:val="000000" w:themeColor="text1"/>
                <w:lang w:val="en-GB"/>
              </w:rPr>
              <w:t>, funding mechanisms</w:t>
            </w:r>
            <w:r w:rsidR="00667C11">
              <w:rPr>
                <w:rFonts w:cstheme="minorHAnsi"/>
                <w:color w:val="000000" w:themeColor="text1"/>
                <w:lang w:val="en-GB"/>
              </w:rPr>
              <w:t xml:space="preserve"> and responsibilities for the delivery of relevant and quality driven apprenticeships and industrial attachments </w:t>
            </w:r>
          </w:p>
        </w:tc>
      </w:tr>
      <w:tr w:rsidR="009245B5" w:rsidRPr="00BC276E" w14:paraId="410DCF79" w14:textId="77777777" w:rsidTr="00221A2C">
        <w:trPr>
          <w:trHeight w:val="567"/>
        </w:trPr>
        <w:tc>
          <w:tcPr>
            <w:tcW w:w="1696" w:type="dxa"/>
            <w:tcBorders>
              <w:top w:val="single" w:sz="4" w:space="0" w:color="auto"/>
              <w:left w:val="single" w:sz="4" w:space="0" w:color="auto"/>
              <w:bottom w:val="single" w:sz="4" w:space="0" w:color="auto"/>
              <w:right w:val="single" w:sz="4" w:space="0" w:color="auto"/>
            </w:tcBorders>
            <w:vAlign w:val="center"/>
            <w:hideMark/>
          </w:tcPr>
          <w:p w14:paraId="732553D9" w14:textId="77777777" w:rsidR="009245B5" w:rsidRPr="00592525" w:rsidRDefault="009245B5" w:rsidP="00221A2C">
            <w:pPr>
              <w:spacing w:line="276" w:lineRule="auto"/>
              <w:rPr>
                <w:rFonts w:cstheme="minorHAnsi"/>
                <w:b/>
                <w:bCs/>
                <w:color w:val="000000" w:themeColor="text1"/>
                <w:lang w:val="en-GB"/>
              </w:rPr>
            </w:pPr>
            <w:r w:rsidRPr="00592525">
              <w:rPr>
                <w:rFonts w:cstheme="minorHAnsi"/>
                <w:b/>
                <w:bCs/>
                <w:color w:val="000000" w:themeColor="text1"/>
                <w:lang w:val="en-GB"/>
              </w:rPr>
              <w:t>Target group</w:t>
            </w:r>
          </w:p>
        </w:tc>
        <w:tc>
          <w:tcPr>
            <w:tcW w:w="7932" w:type="dxa"/>
            <w:tcBorders>
              <w:top w:val="single" w:sz="4" w:space="0" w:color="auto"/>
              <w:left w:val="single" w:sz="4" w:space="0" w:color="auto"/>
              <w:bottom w:val="single" w:sz="4" w:space="0" w:color="auto"/>
              <w:right w:val="single" w:sz="4" w:space="0" w:color="auto"/>
            </w:tcBorders>
            <w:hideMark/>
          </w:tcPr>
          <w:p w14:paraId="20B0FE05" w14:textId="0E7516A7" w:rsidR="009245B5" w:rsidRPr="00592525" w:rsidRDefault="004424B9" w:rsidP="009C1120">
            <w:pPr>
              <w:spacing w:line="276" w:lineRule="auto"/>
              <w:rPr>
                <w:rFonts w:cstheme="minorHAnsi"/>
                <w:color w:val="000000" w:themeColor="text1"/>
                <w:lang w:val="en-GB"/>
              </w:rPr>
            </w:pPr>
            <w:r>
              <w:rPr>
                <w:rFonts w:cstheme="minorHAnsi"/>
                <w:color w:val="000000" w:themeColor="text1"/>
                <w:lang w:val="en-GB"/>
              </w:rPr>
              <w:t xml:space="preserve">Employers planning to hire apprentices, prospective apprentices/trainees, TVET providers (TVETPs) partnering employers in the delivery of apprenticeships, industry mentors, Namibia Training Authority (NTA) officials </w:t>
            </w:r>
          </w:p>
        </w:tc>
      </w:tr>
    </w:tbl>
    <w:p w14:paraId="10D26E27" w14:textId="467BF182" w:rsidR="009245B5" w:rsidRDefault="009245B5">
      <w:pPr>
        <w:rPr>
          <w:b/>
          <w:bCs/>
          <w:lang w:val="en-GB"/>
        </w:rPr>
      </w:pPr>
    </w:p>
    <w:p w14:paraId="453AB363" w14:textId="05F5345E" w:rsidR="00E95434" w:rsidRPr="00667C11" w:rsidRDefault="00E95434" w:rsidP="00667C11">
      <w:pPr>
        <w:pBdr>
          <w:bottom w:val="single" w:sz="4" w:space="1" w:color="auto"/>
        </w:pBdr>
        <w:spacing w:line="276" w:lineRule="auto"/>
        <w:rPr>
          <w:b/>
          <w:bCs/>
          <w:sz w:val="24"/>
          <w:szCs w:val="24"/>
          <w:lang w:val="en-GB"/>
        </w:rPr>
      </w:pPr>
      <w:r w:rsidRPr="00667C11">
        <w:rPr>
          <w:b/>
          <w:bCs/>
          <w:sz w:val="24"/>
          <w:szCs w:val="24"/>
          <w:lang w:val="en-GB"/>
        </w:rPr>
        <w:t>TVET in Namibia</w:t>
      </w:r>
    </w:p>
    <w:p w14:paraId="2AE6A6CF" w14:textId="5E092621" w:rsidR="00E95434" w:rsidRDefault="00B2488D" w:rsidP="00B324CF">
      <w:pPr>
        <w:spacing w:after="120" w:line="276" w:lineRule="auto"/>
        <w:rPr>
          <w:b/>
          <w:bCs/>
          <w:lang w:val="en-GB"/>
        </w:rPr>
      </w:pPr>
      <w:r>
        <w:rPr>
          <w:b/>
          <w:bCs/>
          <w:lang w:val="en-GB"/>
        </w:rPr>
        <w:t xml:space="preserve">Introduction </w:t>
      </w:r>
    </w:p>
    <w:p w14:paraId="69F8134F" w14:textId="3E2D47FF" w:rsidR="003B5E2C" w:rsidRPr="003B5E2C" w:rsidRDefault="00DA31A9" w:rsidP="00B324CF">
      <w:pPr>
        <w:spacing w:after="120" w:line="276" w:lineRule="auto"/>
        <w:rPr>
          <w:lang w:val="en-GB"/>
        </w:rPr>
      </w:pPr>
      <w:r w:rsidRPr="00F7264C">
        <w:rPr>
          <w:lang w:val="en-GB"/>
        </w:rPr>
        <w:t xml:space="preserve">Namibia’s economic growth </w:t>
      </w:r>
      <w:r w:rsidR="00D0596B">
        <w:rPr>
          <w:lang w:val="en-GB"/>
        </w:rPr>
        <w:t>is</w:t>
      </w:r>
      <w:r w:rsidRPr="00F7264C">
        <w:rPr>
          <w:lang w:val="en-GB"/>
        </w:rPr>
        <w:t xml:space="preserve"> threatened by its dependency on low productivity sectors</w:t>
      </w:r>
      <w:r w:rsidR="00D0596B">
        <w:rPr>
          <w:lang w:val="en-GB"/>
        </w:rPr>
        <w:t xml:space="preserve">, a </w:t>
      </w:r>
      <w:r w:rsidR="00667C11">
        <w:rPr>
          <w:lang w:val="en-GB"/>
        </w:rPr>
        <w:t xml:space="preserve">vulnerability </w:t>
      </w:r>
      <w:r w:rsidR="00D0596B">
        <w:rPr>
          <w:lang w:val="en-GB"/>
        </w:rPr>
        <w:t xml:space="preserve">that </w:t>
      </w:r>
      <w:r w:rsidR="00667C11">
        <w:rPr>
          <w:lang w:val="en-GB"/>
        </w:rPr>
        <w:t xml:space="preserve">has </w:t>
      </w:r>
      <w:r w:rsidRPr="00F7264C">
        <w:rPr>
          <w:lang w:val="en-GB"/>
        </w:rPr>
        <w:t xml:space="preserve">manifested itself </w:t>
      </w:r>
      <w:r w:rsidR="00DA4CC6" w:rsidRPr="00F7264C">
        <w:rPr>
          <w:lang w:val="en-GB"/>
        </w:rPr>
        <w:t>with high levels of youth (15-34 age group) unemployment</w:t>
      </w:r>
      <w:r w:rsidR="00667C11">
        <w:rPr>
          <w:lang w:val="en-GB"/>
        </w:rPr>
        <w:t>, measured at</w:t>
      </w:r>
      <w:r w:rsidR="00DA4CC6" w:rsidRPr="00F7264C">
        <w:rPr>
          <w:lang w:val="en-GB"/>
        </w:rPr>
        <w:t xml:space="preserve"> 46.1% in 2018</w:t>
      </w:r>
      <w:r w:rsidR="00DA4CC6" w:rsidRPr="00F7264C">
        <w:rPr>
          <w:rStyle w:val="FootnoteReference"/>
          <w:lang w:val="en-GB"/>
        </w:rPr>
        <w:footnoteReference w:id="4"/>
      </w:r>
      <w:r w:rsidR="00DA4CC6" w:rsidRPr="00F7264C">
        <w:rPr>
          <w:lang w:val="en-GB"/>
        </w:rPr>
        <w:t xml:space="preserve">. </w:t>
      </w:r>
      <w:r w:rsidR="003B5E2C">
        <w:rPr>
          <w:lang w:val="en-GB"/>
        </w:rPr>
        <w:t xml:space="preserve">The need to utilise Namibia’s human resource through an efficient and effective TVET system is captured in the country’s ‘Vision 2030’ which </w:t>
      </w:r>
      <w:r w:rsidR="003B5E2C" w:rsidRPr="003B5E2C">
        <w:rPr>
          <w:rFonts w:eastAsia="Times New Roman" w:cstheme="minorHAnsi"/>
          <w:lang w:val="en-GB" w:eastAsia="en-GB"/>
        </w:rPr>
        <w:t>anticipates the transformation of the Namibian economy into an industrialised and knowledge-based economy</w:t>
      </w:r>
      <w:r w:rsidR="003B5E2C">
        <w:rPr>
          <w:rFonts w:eastAsia="Times New Roman" w:cstheme="minorHAnsi"/>
          <w:lang w:val="en-GB" w:eastAsia="en-GB"/>
        </w:rPr>
        <w:t xml:space="preserve">. </w:t>
      </w:r>
      <w:r w:rsidR="003B5E2C" w:rsidRPr="003B5E2C">
        <w:rPr>
          <w:rFonts w:eastAsia="Times New Roman" w:cstheme="minorHAnsi"/>
          <w:lang w:val="en-GB" w:eastAsia="en-GB"/>
        </w:rPr>
        <w:t>Vision 2030 is being delivered through a series of National Development Plans, which include TVET objectives related to:</w:t>
      </w:r>
    </w:p>
    <w:p w14:paraId="6D099AD5" w14:textId="77777777" w:rsidR="003B5E2C" w:rsidRPr="005076B3" w:rsidRDefault="003B5E2C" w:rsidP="00B324CF">
      <w:pPr>
        <w:pStyle w:val="ListParagraph"/>
        <w:numPr>
          <w:ilvl w:val="0"/>
          <w:numId w:val="9"/>
        </w:numPr>
        <w:spacing w:after="120" w:line="276" w:lineRule="auto"/>
        <w:rPr>
          <w:rFonts w:cstheme="minorHAnsi"/>
          <w:lang w:val="en-GB"/>
        </w:rPr>
      </w:pPr>
      <w:r w:rsidRPr="005076B3">
        <w:rPr>
          <w:rFonts w:eastAsia="Times New Roman" w:cstheme="minorHAnsi"/>
          <w:lang w:val="en-GB" w:eastAsia="en-GB"/>
        </w:rPr>
        <w:t>Increased enrolment, resourcing, capacity and provision</w:t>
      </w:r>
    </w:p>
    <w:p w14:paraId="2485D51E" w14:textId="1BEDE527" w:rsidR="003B5E2C" w:rsidRPr="005076B3" w:rsidRDefault="003B5E2C" w:rsidP="00B324CF">
      <w:pPr>
        <w:pStyle w:val="ListParagraph"/>
        <w:numPr>
          <w:ilvl w:val="0"/>
          <w:numId w:val="9"/>
        </w:numPr>
        <w:spacing w:after="120" w:line="276" w:lineRule="auto"/>
        <w:rPr>
          <w:rFonts w:cstheme="minorHAnsi"/>
          <w:lang w:val="en-GB"/>
        </w:rPr>
      </w:pPr>
      <w:r w:rsidRPr="005076B3">
        <w:rPr>
          <w:rFonts w:eastAsia="Times New Roman" w:cstheme="minorHAnsi"/>
          <w:lang w:val="en-GB" w:eastAsia="en-GB"/>
        </w:rPr>
        <w:t xml:space="preserve">Linking to key priority sectors </w:t>
      </w:r>
      <w:r>
        <w:rPr>
          <w:rFonts w:eastAsia="Times New Roman" w:cstheme="minorHAnsi"/>
          <w:lang w:val="en-GB" w:eastAsia="en-GB"/>
        </w:rPr>
        <w:t xml:space="preserve">and </w:t>
      </w:r>
      <w:r w:rsidR="00D0596B">
        <w:rPr>
          <w:rFonts w:eastAsia="Times New Roman" w:cstheme="minorHAnsi"/>
          <w:lang w:val="en-GB" w:eastAsia="en-GB"/>
        </w:rPr>
        <w:t xml:space="preserve">enhanced pathways to </w:t>
      </w:r>
      <w:r>
        <w:rPr>
          <w:rFonts w:eastAsia="Times New Roman" w:cstheme="minorHAnsi"/>
          <w:lang w:val="en-GB" w:eastAsia="en-GB"/>
        </w:rPr>
        <w:t xml:space="preserve">general education </w:t>
      </w:r>
    </w:p>
    <w:p w14:paraId="3D4D9D91" w14:textId="77777777" w:rsidR="003B5E2C" w:rsidRPr="005076B3" w:rsidRDefault="003B5E2C" w:rsidP="00B324CF">
      <w:pPr>
        <w:pStyle w:val="ListParagraph"/>
        <w:numPr>
          <w:ilvl w:val="0"/>
          <w:numId w:val="9"/>
        </w:numPr>
        <w:spacing w:after="120" w:line="276" w:lineRule="auto"/>
        <w:rPr>
          <w:rFonts w:cstheme="minorHAnsi"/>
          <w:lang w:val="en-GB"/>
        </w:rPr>
      </w:pPr>
      <w:r w:rsidRPr="005076B3">
        <w:rPr>
          <w:rFonts w:eastAsia="Times New Roman" w:cstheme="minorHAnsi"/>
          <w:lang w:val="en-GB" w:eastAsia="en-GB"/>
        </w:rPr>
        <w:t xml:space="preserve">Enhanced sector leadership, management and quality </w:t>
      </w:r>
    </w:p>
    <w:p w14:paraId="65A289F5" w14:textId="3E29D4F3" w:rsidR="003B5E2C" w:rsidRPr="005076B3" w:rsidRDefault="003B5E2C" w:rsidP="00B324CF">
      <w:pPr>
        <w:pStyle w:val="ListParagraph"/>
        <w:numPr>
          <w:ilvl w:val="0"/>
          <w:numId w:val="9"/>
        </w:numPr>
        <w:spacing w:after="120" w:line="276" w:lineRule="auto"/>
        <w:rPr>
          <w:rFonts w:cstheme="minorHAnsi"/>
          <w:lang w:val="en-GB"/>
        </w:rPr>
      </w:pPr>
      <w:r w:rsidRPr="005076B3">
        <w:rPr>
          <w:rFonts w:eastAsia="Times New Roman" w:cstheme="minorHAnsi"/>
          <w:lang w:val="en-GB" w:eastAsia="en-GB"/>
        </w:rPr>
        <w:t xml:space="preserve">Increase </w:t>
      </w:r>
      <w:r w:rsidR="00D0596B">
        <w:rPr>
          <w:rFonts w:eastAsia="Times New Roman" w:cstheme="minorHAnsi"/>
          <w:lang w:val="en-GB" w:eastAsia="en-GB"/>
        </w:rPr>
        <w:t xml:space="preserve">private sector </w:t>
      </w:r>
      <w:r w:rsidRPr="005076B3">
        <w:rPr>
          <w:rFonts w:eastAsia="Times New Roman" w:cstheme="minorHAnsi"/>
          <w:lang w:val="en-GB" w:eastAsia="en-GB"/>
        </w:rPr>
        <w:t xml:space="preserve">engagement in the TVET system </w:t>
      </w:r>
      <w:r w:rsidR="00D0596B">
        <w:rPr>
          <w:rFonts w:eastAsia="Times New Roman" w:cstheme="minorHAnsi"/>
          <w:lang w:val="en-GB" w:eastAsia="en-GB"/>
        </w:rPr>
        <w:t>to promote relevance and credibility</w:t>
      </w:r>
    </w:p>
    <w:p w14:paraId="27936461" w14:textId="77777777" w:rsidR="003B5E2C" w:rsidRPr="005076B3" w:rsidRDefault="003B5E2C" w:rsidP="00B324CF">
      <w:pPr>
        <w:pStyle w:val="ListParagraph"/>
        <w:numPr>
          <w:ilvl w:val="0"/>
          <w:numId w:val="9"/>
        </w:numPr>
        <w:spacing w:after="120" w:line="276" w:lineRule="auto"/>
        <w:rPr>
          <w:rFonts w:cstheme="minorHAnsi"/>
          <w:lang w:val="en-GB"/>
        </w:rPr>
      </w:pPr>
      <w:r w:rsidRPr="005076B3">
        <w:rPr>
          <w:rFonts w:eastAsia="Times New Roman" w:cstheme="minorHAnsi"/>
          <w:lang w:val="en-GB" w:eastAsia="en-GB"/>
        </w:rPr>
        <w:t xml:space="preserve">Improved financing, including linking funding to performance and outcomes </w:t>
      </w:r>
    </w:p>
    <w:p w14:paraId="5C7EB80D" w14:textId="77777777" w:rsidR="003B5E2C" w:rsidRPr="005076B3" w:rsidRDefault="003B5E2C" w:rsidP="00B324CF">
      <w:pPr>
        <w:pStyle w:val="ListParagraph"/>
        <w:numPr>
          <w:ilvl w:val="0"/>
          <w:numId w:val="9"/>
        </w:numPr>
        <w:spacing w:after="120" w:line="276" w:lineRule="auto"/>
        <w:rPr>
          <w:rFonts w:cstheme="minorHAnsi"/>
          <w:lang w:val="en-GB"/>
        </w:rPr>
      </w:pPr>
      <w:r w:rsidRPr="005076B3">
        <w:rPr>
          <w:rFonts w:eastAsia="Times New Roman" w:cstheme="minorHAnsi"/>
          <w:lang w:val="en-GB" w:eastAsia="en-GB"/>
        </w:rPr>
        <w:lastRenderedPageBreak/>
        <w:t>Introduction of competency-based education and training (CBET)</w:t>
      </w:r>
    </w:p>
    <w:p w14:paraId="08FF6B6E" w14:textId="6751DCE6" w:rsidR="00ED2152" w:rsidRDefault="00D0596B" w:rsidP="00B324CF">
      <w:pPr>
        <w:spacing w:after="120" w:line="276" w:lineRule="auto"/>
        <w:rPr>
          <w:lang w:val="en-GB"/>
        </w:rPr>
      </w:pPr>
      <w:r>
        <w:rPr>
          <w:lang w:val="en-GB"/>
        </w:rPr>
        <w:t xml:space="preserve">The </w:t>
      </w:r>
      <w:r w:rsidR="00667C11">
        <w:rPr>
          <w:lang w:val="en-GB"/>
        </w:rPr>
        <w:t xml:space="preserve">Government of </w:t>
      </w:r>
      <w:r w:rsidR="00DA4CC6" w:rsidRPr="00F7264C">
        <w:rPr>
          <w:lang w:val="en-GB"/>
        </w:rPr>
        <w:t>Namibia</w:t>
      </w:r>
      <w:r w:rsidR="00667C11">
        <w:rPr>
          <w:lang w:val="en-GB"/>
        </w:rPr>
        <w:t xml:space="preserve"> (GoN), through the </w:t>
      </w:r>
      <w:r w:rsidR="00667C11" w:rsidRPr="00F7264C">
        <w:rPr>
          <w:lang w:val="en-GB"/>
        </w:rPr>
        <w:t>Ministry of Higher Education, Technology and Innovation (MHETI)</w:t>
      </w:r>
      <w:r w:rsidR="00667C11">
        <w:rPr>
          <w:lang w:val="en-GB"/>
        </w:rPr>
        <w:t xml:space="preserve">, </w:t>
      </w:r>
      <w:r w:rsidR="00DA4CC6" w:rsidRPr="00F7264C">
        <w:rPr>
          <w:lang w:val="en-GB"/>
        </w:rPr>
        <w:t xml:space="preserve">is </w:t>
      </w:r>
      <w:r w:rsidR="00B2488D">
        <w:rPr>
          <w:lang w:val="en-GB"/>
        </w:rPr>
        <w:t xml:space="preserve">enhancing </w:t>
      </w:r>
      <w:r w:rsidR="003B5E2C">
        <w:rPr>
          <w:lang w:val="en-GB"/>
        </w:rPr>
        <w:t xml:space="preserve">TVET </w:t>
      </w:r>
      <w:r w:rsidR="00DA4CC6" w:rsidRPr="00F7264C">
        <w:rPr>
          <w:lang w:val="en-GB"/>
        </w:rPr>
        <w:t>quality</w:t>
      </w:r>
      <w:r w:rsidR="00667C11">
        <w:rPr>
          <w:lang w:val="en-GB"/>
        </w:rPr>
        <w:t xml:space="preserve"> and relevance</w:t>
      </w:r>
      <w:r w:rsidR="00DA4CC6" w:rsidRPr="00F7264C">
        <w:rPr>
          <w:lang w:val="en-GB"/>
        </w:rPr>
        <w:t xml:space="preserve"> </w:t>
      </w:r>
      <w:r w:rsidR="003B5E2C">
        <w:rPr>
          <w:lang w:val="en-GB"/>
        </w:rPr>
        <w:t xml:space="preserve">through </w:t>
      </w:r>
      <w:r w:rsidR="009B59CD">
        <w:rPr>
          <w:lang w:val="en-GB"/>
        </w:rPr>
        <w:t xml:space="preserve">the introduction of </w:t>
      </w:r>
      <w:r w:rsidR="009B59CD" w:rsidRPr="00F7264C">
        <w:rPr>
          <w:lang w:val="en-GB"/>
        </w:rPr>
        <w:t>more effective models of Work Integrated Learning (WIL</w:t>
      </w:r>
      <w:r w:rsidR="009B59CD">
        <w:rPr>
          <w:lang w:val="en-GB"/>
        </w:rPr>
        <w:t>)</w:t>
      </w:r>
      <w:r w:rsidR="00591549">
        <w:rPr>
          <w:lang w:val="en-GB"/>
        </w:rPr>
        <w:t xml:space="preserve">, which </w:t>
      </w:r>
      <w:r w:rsidR="00B70292">
        <w:rPr>
          <w:lang w:val="en-GB"/>
        </w:rPr>
        <w:t xml:space="preserve">is equitable to </w:t>
      </w:r>
      <w:r w:rsidR="00591549">
        <w:rPr>
          <w:lang w:val="en-GB"/>
        </w:rPr>
        <w:t>work-based learning</w:t>
      </w:r>
      <w:r w:rsidR="003B5E2C">
        <w:rPr>
          <w:lang w:val="en-GB"/>
        </w:rPr>
        <w:t>.</w:t>
      </w:r>
      <w:r w:rsidR="009B59CD">
        <w:rPr>
          <w:lang w:val="en-GB"/>
        </w:rPr>
        <w:t xml:space="preserve"> </w:t>
      </w:r>
      <w:r w:rsidR="0097082D" w:rsidRPr="00F7264C">
        <w:rPr>
          <w:lang w:val="en-GB"/>
        </w:rPr>
        <w:t>Th</w:t>
      </w:r>
      <w:r w:rsidR="00B2488D">
        <w:rPr>
          <w:lang w:val="en-GB"/>
        </w:rPr>
        <w:t>is initiative</w:t>
      </w:r>
      <w:r w:rsidR="0097082D" w:rsidRPr="00F7264C">
        <w:rPr>
          <w:lang w:val="en-GB"/>
        </w:rPr>
        <w:t xml:space="preserve"> include</w:t>
      </w:r>
      <w:r w:rsidR="00B2488D">
        <w:rPr>
          <w:lang w:val="en-GB"/>
        </w:rPr>
        <w:t>s</w:t>
      </w:r>
      <w:r w:rsidR="0097082D" w:rsidRPr="00F7264C">
        <w:rPr>
          <w:lang w:val="en-GB"/>
        </w:rPr>
        <w:t xml:space="preserve"> the National TVET Policy, MHETI</w:t>
      </w:r>
      <w:r w:rsidR="009B59CD">
        <w:rPr>
          <w:lang w:val="en-GB"/>
        </w:rPr>
        <w:t xml:space="preserve"> (</w:t>
      </w:r>
      <w:r w:rsidR="0097082D" w:rsidRPr="00F7264C">
        <w:rPr>
          <w:lang w:val="en-GB"/>
        </w:rPr>
        <w:t>2021</w:t>
      </w:r>
      <w:r w:rsidR="009B59CD">
        <w:rPr>
          <w:lang w:val="en-GB"/>
        </w:rPr>
        <w:t>)</w:t>
      </w:r>
      <w:r w:rsidR="0097082D" w:rsidRPr="00F7264C">
        <w:rPr>
          <w:lang w:val="en-GB"/>
        </w:rPr>
        <w:t xml:space="preserve">, </w:t>
      </w:r>
      <w:r>
        <w:rPr>
          <w:lang w:val="en-GB"/>
        </w:rPr>
        <w:t xml:space="preserve">with the objective </w:t>
      </w:r>
      <w:r w:rsidR="0097082D" w:rsidRPr="00F7264C">
        <w:rPr>
          <w:lang w:val="en-GB"/>
        </w:rPr>
        <w:t>to establish a sector defined by</w:t>
      </w:r>
      <w:r>
        <w:rPr>
          <w:lang w:val="en-GB"/>
        </w:rPr>
        <w:t>;</w:t>
      </w:r>
      <w:r w:rsidR="0097082D" w:rsidRPr="00F7264C">
        <w:rPr>
          <w:lang w:val="en-GB"/>
        </w:rPr>
        <w:t xml:space="preserve"> increased private sector engagement, improved administration, performance linked </w:t>
      </w:r>
      <w:r w:rsidR="00F7264C" w:rsidRPr="00F7264C">
        <w:rPr>
          <w:lang w:val="en-GB"/>
        </w:rPr>
        <w:t>funding, access</w:t>
      </w:r>
      <w:r w:rsidR="009B59CD">
        <w:rPr>
          <w:lang w:val="en-GB"/>
        </w:rPr>
        <w:t xml:space="preserve"> and inclusion</w:t>
      </w:r>
      <w:r w:rsidR="00F7264C" w:rsidRPr="00F7264C">
        <w:rPr>
          <w:lang w:val="en-GB"/>
        </w:rPr>
        <w:t xml:space="preserve">, </w:t>
      </w:r>
      <w:r w:rsidR="009B59CD">
        <w:rPr>
          <w:lang w:val="en-GB"/>
        </w:rPr>
        <w:t xml:space="preserve">utilisation of </w:t>
      </w:r>
      <w:r w:rsidR="00F7264C" w:rsidRPr="00F7264C">
        <w:rPr>
          <w:lang w:val="en-GB"/>
        </w:rPr>
        <w:t xml:space="preserve">RPL models and enhanced linkages between TVET and </w:t>
      </w:r>
      <w:r w:rsidR="009B59CD">
        <w:rPr>
          <w:lang w:val="en-GB"/>
        </w:rPr>
        <w:t xml:space="preserve">the </w:t>
      </w:r>
      <w:r w:rsidR="00F7264C" w:rsidRPr="00F7264C">
        <w:rPr>
          <w:lang w:val="en-GB"/>
        </w:rPr>
        <w:t>wider education sector</w:t>
      </w:r>
      <w:r w:rsidR="005D22E8">
        <w:rPr>
          <w:rStyle w:val="FootnoteReference"/>
          <w:lang w:val="en-GB"/>
        </w:rPr>
        <w:footnoteReference w:id="5"/>
      </w:r>
      <w:r w:rsidR="00F7264C" w:rsidRPr="00F7264C">
        <w:rPr>
          <w:lang w:val="en-GB"/>
        </w:rPr>
        <w:t xml:space="preserve">. </w:t>
      </w:r>
      <w:r w:rsidR="00ED2152">
        <w:rPr>
          <w:lang w:val="en-GB"/>
        </w:rPr>
        <w:t>Namibia’s</w:t>
      </w:r>
      <w:r w:rsidR="005D22E8">
        <w:rPr>
          <w:lang w:val="en-GB"/>
        </w:rPr>
        <w:t xml:space="preserve"> strategic vision</w:t>
      </w:r>
      <w:r w:rsidR="00ED2152">
        <w:rPr>
          <w:lang w:val="en-GB"/>
        </w:rPr>
        <w:t xml:space="preserve"> for WIL</w:t>
      </w:r>
      <w:r w:rsidR="005D22E8">
        <w:rPr>
          <w:lang w:val="en-GB"/>
        </w:rPr>
        <w:t xml:space="preserve"> is now been translated into reality through the </w:t>
      </w:r>
      <w:r w:rsidR="009B59CD">
        <w:rPr>
          <w:lang w:val="en-GB"/>
        </w:rPr>
        <w:t>design</w:t>
      </w:r>
      <w:r w:rsidR="005D22E8">
        <w:rPr>
          <w:lang w:val="en-GB"/>
        </w:rPr>
        <w:t xml:space="preserve"> of Namibia’s Work Integrated Learning Policy</w:t>
      </w:r>
      <w:r w:rsidR="005D22E8">
        <w:rPr>
          <w:rStyle w:val="FootnoteReference"/>
          <w:lang w:val="en-GB"/>
        </w:rPr>
        <w:footnoteReference w:id="6"/>
      </w:r>
      <w:r w:rsidR="00ED2152">
        <w:rPr>
          <w:lang w:val="en-GB"/>
        </w:rPr>
        <w:t>,</w:t>
      </w:r>
      <w:r w:rsidR="009B59CD">
        <w:rPr>
          <w:lang w:val="en-GB"/>
        </w:rPr>
        <w:t xml:space="preserve"> which is</w:t>
      </w:r>
      <w:r w:rsidR="00ED2152">
        <w:rPr>
          <w:lang w:val="en-GB"/>
        </w:rPr>
        <w:t xml:space="preserve"> being de</w:t>
      </w:r>
      <w:r w:rsidR="009B59CD">
        <w:rPr>
          <w:lang w:val="en-GB"/>
        </w:rPr>
        <w:t xml:space="preserve">veloped </w:t>
      </w:r>
      <w:r>
        <w:rPr>
          <w:lang w:val="en-GB"/>
        </w:rPr>
        <w:t>under the leadership of the</w:t>
      </w:r>
      <w:r w:rsidR="00ED2152">
        <w:rPr>
          <w:lang w:val="en-GB"/>
        </w:rPr>
        <w:t xml:space="preserve"> Namibian Training Authority (NTA)</w:t>
      </w:r>
      <w:r w:rsidR="00F44063">
        <w:rPr>
          <w:rStyle w:val="FootnoteReference"/>
          <w:lang w:val="en-GB"/>
        </w:rPr>
        <w:footnoteReference w:id="7"/>
      </w:r>
      <w:r w:rsidR="00ED2152">
        <w:rPr>
          <w:lang w:val="en-GB"/>
        </w:rPr>
        <w:t>. This includes th</w:t>
      </w:r>
      <w:r>
        <w:rPr>
          <w:lang w:val="en-GB"/>
        </w:rPr>
        <w:t>e realisation of</w:t>
      </w:r>
      <w:r w:rsidR="00ED2152">
        <w:rPr>
          <w:lang w:val="en-GB"/>
        </w:rPr>
        <w:t xml:space="preserve"> WIL policy objectives linked to</w:t>
      </w:r>
      <w:r w:rsidR="00AB1202">
        <w:rPr>
          <w:rStyle w:val="FootnoteReference"/>
          <w:lang w:val="en-GB"/>
        </w:rPr>
        <w:footnoteReference w:id="8"/>
      </w:r>
      <w:r w:rsidR="00ED2152">
        <w:rPr>
          <w:lang w:val="en-GB"/>
        </w:rPr>
        <w:t>:</w:t>
      </w:r>
    </w:p>
    <w:p w14:paraId="146CFD93" w14:textId="58EF0603" w:rsidR="0097082D" w:rsidRDefault="00ED2152" w:rsidP="00B324CF">
      <w:pPr>
        <w:pStyle w:val="ListParagraph"/>
        <w:numPr>
          <w:ilvl w:val="0"/>
          <w:numId w:val="9"/>
        </w:numPr>
        <w:spacing w:after="120" w:line="276" w:lineRule="auto"/>
        <w:rPr>
          <w:lang w:val="en-GB"/>
        </w:rPr>
      </w:pPr>
      <w:r>
        <w:rPr>
          <w:lang w:val="en-GB"/>
        </w:rPr>
        <w:t>Establishing a WIL framework for TVET</w:t>
      </w:r>
    </w:p>
    <w:p w14:paraId="741FE4F3" w14:textId="00EA5E72" w:rsidR="00ED2152" w:rsidRDefault="00ED2152" w:rsidP="00B324CF">
      <w:pPr>
        <w:pStyle w:val="ListParagraph"/>
        <w:numPr>
          <w:ilvl w:val="0"/>
          <w:numId w:val="9"/>
        </w:numPr>
        <w:spacing w:after="120" w:line="276" w:lineRule="auto"/>
        <w:rPr>
          <w:lang w:val="en-GB"/>
        </w:rPr>
      </w:pPr>
      <w:r>
        <w:rPr>
          <w:lang w:val="en-GB"/>
        </w:rPr>
        <w:t xml:space="preserve">Promoting increased </w:t>
      </w:r>
      <w:r w:rsidR="00F15638">
        <w:rPr>
          <w:lang w:val="en-GB"/>
        </w:rPr>
        <w:t xml:space="preserve">TVET </w:t>
      </w:r>
      <w:r>
        <w:rPr>
          <w:lang w:val="en-GB"/>
        </w:rPr>
        <w:t>acces</w:t>
      </w:r>
      <w:r w:rsidR="00AB1202">
        <w:rPr>
          <w:lang w:val="en-GB"/>
        </w:rPr>
        <w:t xml:space="preserve">s and </w:t>
      </w:r>
      <w:r w:rsidR="00F15638">
        <w:rPr>
          <w:lang w:val="en-GB"/>
        </w:rPr>
        <w:t>inclusion</w:t>
      </w:r>
    </w:p>
    <w:p w14:paraId="5E400704" w14:textId="202244E4" w:rsidR="00AB1202" w:rsidRDefault="00F15638" w:rsidP="00B324CF">
      <w:pPr>
        <w:pStyle w:val="ListParagraph"/>
        <w:numPr>
          <w:ilvl w:val="0"/>
          <w:numId w:val="9"/>
        </w:numPr>
        <w:spacing w:after="120" w:line="276" w:lineRule="auto"/>
        <w:rPr>
          <w:lang w:val="en-GB"/>
        </w:rPr>
      </w:pPr>
      <w:r>
        <w:rPr>
          <w:lang w:val="en-GB"/>
        </w:rPr>
        <w:t xml:space="preserve">Introducing </w:t>
      </w:r>
      <w:r w:rsidR="00AB1202">
        <w:rPr>
          <w:lang w:val="en-GB"/>
        </w:rPr>
        <w:t xml:space="preserve">financial incentives for </w:t>
      </w:r>
      <w:r>
        <w:rPr>
          <w:lang w:val="en-GB"/>
        </w:rPr>
        <w:t xml:space="preserve">employer engagement in </w:t>
      </w:r>
      <w:r w:rsidR="00AB1202">
        <w:rPr>
          <w:lang w:val="en-GB"/>
        </w:rPr>
        <w:t>apprenticeships and industrial attachments</w:t>
      </w:r>
    </w:p>
    <w:p w14:paraId="5DB99141" w14:textId="5D04DD7B" w:rsidR="00F15638" w:rsidRDefault="00F15638" w:rsidP="00B324CF">
      <w:pPr>
        <w:pStyle w:val="ListParagraph"/>
        <w:numPr>
          <w:ilvl w:val="0"/>
          <w:numId w:val="9"/>
        </w:numPr>
        <w:spacing w:after="120" w:line="276" w:lineRule="auto"/>
        <w:rPr>
          <w:lang w:val="en-GB"/>
        </w:rPr>
      </w:pPr>
      <w:r>
        <w:rPr>
          <w:lang w:val="en-GB"/>
        </w:rPr>
        <w:t xml:space="preserve">Utilising Namibia’s training levy to promote quality WIL delivery and models </w:t>
      </w:r>
    </w:p>
    <w:p w14:paraId="407AB53A" w14:textId="6135F1C4" w:rsidR="008F3B66" w:rsidRDefault="00AB1202" w:rsidP="00B324CF">
      <w:pPr>
        <w:pStyle w:val="ListParagraph"/>
        <w:numPr>
          <w:ilvl w:val="0"/>
          <w:numId w:val="9"/>
        </w:numPr>
        <w:spacing w:after="120" w:line="276" w:lineRule="auto"/>
        <w:rPr>
          <w:lang w:val="en-GB"/>
        </w:rPr>
      </w:pPr>
      <w:r>
        <w:rPr>
          <w:lang w:val="en-GB"/>
        </w:rPr>
        <w:t>Increas</w:t>
      </w:r>
      <w:r w:rsidR="009B59CD">
        <w:rPr>
          <w:lang w:val="en-GB"/>
        </w:rPr>
        <w:t>ing</w:t>
      </w:r>
      <w:r>
        <w:rPr>
          <w:lang w:val="en-GB"/>
        </w:rPr>
        <w:t xml:space="preserve"> TVET credibility and relevance </w:t>
      </w:r>
      <w:r w:rsidR="00F15638">
        <w:rPr>
          <w:lang w:val="en-GB"/>
        </w:rPr>
        <w:t xml:space="preserve">to </w:t>
      </w:r>
      <w:r w:rsidRPr="00F15638">
        <w:rPr>
          <w:lang w:val="en-GB"/>
        </w:rPr>
        <w:t xml:space="preserve">address skills mismatches and facilitate the transition to employment </w:t>
      </w:r>
    </w:p>
    <w:p w14:paraId="6D88D3C0" w14:textId="6EEDB3BB" w:rsidR="00F15638" w:rsidRPr="00F15638" w:rsidRDefault="00F15638" w:rsidP="00B324CF">
      <w:pPr>
        <w:spacing w:after="120" w:line="276" w:lineRule="auto"/>
        <w:rPr>
          <w:lang w:val="en-GB"/>
        </w:rPr>
      </w:pPr>
      <w:r>
        <w:rPr>
          <w:lang w:val="en-GB"/>
        </w:rPr>
        <w:t xml:space="preserve">NTA has launched and oversees WIL guidelines and procedures (guidelines), funded through the levy, that promote the realisation of these objectives. It is this initiative that this report describes. </w:t>
      </w:r>
    </w:p>
    <w:p w14:paraId="4F1FCAEF" w14:textId="0C3F7485" w:rsidR="00B2488D" w:rsidRPr="00B2488D" w:rsidRDefault="00B2488D" w:rsidP="00B324CF">
      <w:pPr>
        <w:spacing w:after="120" w:line="276" w:lineRule="auto"/>
        <w:rPr>
          <w:b/>
          <w:bCs/>
          <w:lang w:val="en-GB"/>
        </w:rPr>
      </w:pPr>
      <w:r w:rsidRPr="00B2488D">
        <w:rPr>
          <w:b/>
          <w:bCs/>
          <w:lang w:val="en-GB"/>
        </w:rPr>
        <w:t>Background</w:t>
      </w:r>
    </w:p>
    <w:p w14:paraId="4F3ED67B" w14:textId="58D799BD" w:rsidR="005D22E8" w:rsidRPr="00B2488D" w:rsidRDefault="0082176A" w:rsidP="00B324CF">
      <w:pPr>
        <w:pStyle w:val="NoSpacing"/>
        <w:spacing w:after="120" w:line="276" w:lineRule="auto"/>
        <w:rPr>
          <w:b/>
          <w:bCs/>
          <w:color w:val="000000" w:themeColor="text1"/>
          <w:lang w:val="en-GB"/>
        </w:rPr>
      </w:pPr>
      <w:r w:rsidRPr="00B2488D">
        <w:rPr>
          <w:b/>
          <w:bCs/>
          <w:color w:val="000000" w:themeColor="text1"/>
          <w:lang w:val="en-GB"/>
        </w:rPr>
        <w:t>Formal VET</w:t>
      </w:r>
      <w:r w:rsidR="00FF4085" w:rsidRPr="00B2488D">
        <w:rPr>
          <w:rStyle w:val="FootnoteReference"/>
          <w:b/>
          <w:bCs/>
          <w:color w:val="000000" w:themeColor="text1"/>
          <w:lang w:val="en-GB"/>
        </w:rPr>
        <w:footnoteReference w:id="9"/>
      </w:r>
    </w:p>
    <w:p w14:paraId="47221757" w14:textId="7CF02CC7" w:rsidR="005477E8" w:rsidRDefault="0082176A" w:rsidP="00B324CF">
      <w:pPr>
        <w:spacing w:after="120"/>
        <w:rPr>
          <w:rFonts w:eastAsia="Times New Roman" w:cstheme="minorHAnsi"/>
          <w:lang w:val="en-GB" w:eastAsia="en-GB"/>
        </w:rPr>
      </w:pPr>
      <w:r w:rsidRPr="00B2488D">
        <w:rPr>
          <w:rFonts w:eastAsia="Times New Roman" w:cstheme="minorHAnsi"/>
          <w:color w:val="000000" w:themeColor="text1"/>
          <w:lang w:val="en-GB" w:eastAsia="en-GB"/>
        </w:rPr>
        <w:t>TVET is introduced in</w:t>
      </w:r>
      <w:r w:rsidR="00FF4085" w:rsidRPr="00B2488D">
        <w:rPr>
          <w:rFonts w:eastAsia="Times New Roman" w:cstheme="minorHAnsi"/>
          <w:color w:val="000000" w:themeColor="text1"/>
          <w:lang w:val="en-GB" w:eastAsia="en-GB"/>
        </w:rPr>
        <w:t>to</w:t>
      </w:r>
      <w:r w:rsidRPr="00B2488D">
        <w:rPr>
          <w:rFonts w:eastAsia="Times New Roman" w:cstheme="minorHAnsi"/>
          <w:color w:val="000000" w:themeColor="text1"/>
          <w:lang w:val="en-GB" w:eastAsia="en-GB"/>
        </w:rPr>
        <w:t xml:space="preserve"> the curriculum</w:t>
      </w:r>
      <w:r w:rsidR="00F15638">
        <w:rPr>
          <w:rFonts w:eastAsia="Times New Roman" w:cstheme="minorHAnsi"/>
          <w:color w:val="000000" w:themeColor="text1"/>
          <w:lang w:val="en-GB" w:eastAsia="en-GB"/>
        </w:rPr>
        <w:t xml:space="preserve"> a</w:t>
      </w:r>
      <w:r w:rsidR="00F15638" w:rsidRPr="00B2488D">
        <w:rPr>
          <w:rFonts w:eastAsia="Times New Roman" w:cstheme="minorHAnsi"/>
          <w:color w:val="000000" w:themeColor="text1"/>
          <w:lang w:val="en-GB" w:eastAsia="en-GB"/>
        </w:rPr>
        <w:t xml:space="preserve">t the junior secondary education </w:t>
      </w:r>
      <w:r w:rsidR="00D1472B" w:rsidRPr="00B2488D">
        <w:rPr>
          <w:rFonts w:eastAsia="Times New Roman" w:cstheme="minorHAnsi"/>
          <w:color w:val="000000" w:themeColor="text1"/>
          <w:lang w:val="en-GB" w:eastAsia="en-GB"/>
        </w:rPr>
        <w:t>level, through</w:t>
      </w:r>
      <w:r w:rsidRPr="00B2488D">
        <w:rPr>
          <w:rFonts w:eastAsia="Times New Roman" w:cstheme="minorHAnsi"/>
          <w:color w:val="000000" w:themeColor="text1"/>
          <w:lang w:val="en-GB" w:eastAsia="en-GB"/>
        </w:rPr>
        <w:t xml:space="preserve"> a pre-vocational and technical stream</w:t>
      </w:r>
      <w:r w:rsidR="00FF4085" w:rsidRPr="00B2488D">
        <w:rPr>
          <w:rFonts w:eastAsia="Times New Roman" w:cstheme="minorHAnsi"/>
          <w:color w:val="000000" w:themeColor="text1"/>
          <w:lang w:val="en-GB" w:eastAsia="en-GB"/>
        </w:rPr>
        <w:t>, which allows s</w:t>
      </w:r>
      <w:r w:rsidRPr="00B2488D">
        <w:rPr>
          <w:rFonts w:eastAsia="Times New Roman" w:cstheme="minorHAnsi"/>
          <w:color w:val="000000" w:themeColor="text1"/>
          <w:lang w:val="en-GB" w:eastAsia="en-GB"/>
        </w:rPr>
        <w:t xml:space="preserve">tudents </w:t>
      </w:r>
      <w:r w:rsidR="00FF4085" w:rsidRPr="00B2488D">
        <w:rPr>
          <w:rFonts w:eastAsia="Times New Roman" w:cstheme="minorHAnsi"/>
          <w:color w:val="000000" w:themeColor="text1"/>
          <w:lang w:val="en-GB" w:eastAsia="en-GB"/>
        </w:rPr>
        <w:t xml:space="preserve">to </w:t>
      </w:r>
      <w:r w:rsidRPr="00B2488D">
        <w:rPr>
          <w:rFonts w:eastAsia="Times New Roman" w:cstheme="minorHAnsi"/>
          <w:color w:val="000000" w:themeColor="text1"/>
          <w:lang w:val="en-GB" w:eastAsia="en-GB"/>
        </w:rPr>
        <w:t>choose three TVET related elective subjects including</w:t>
      </w:r>
      <w:r w:rsidR="00F15638">
        <w:rPr>
          <w:rFonts w:eastAsia="Times New Roman" w:cstheme="minorHAnsi"/>
          <w:color w:val="000000" w:themeColor="text1"/>
          <w:lang w:val="en-GB" w:eastAsia="en-GB"/>
        </w:rPr>
        <w:t xml:space="preserve"> from</w:t>
      </w:r>
      <w:r w:rsidRPr="00B2488D">
        <w:rPr>
          <w:rFonts w:eastAsia="Times New Roman" w:cstheme="minorHAnsi"/>
          <w:color w:val="000000" w:themeColor="text1"/>
          <w:lang w:val="en-GB" w:eastAsia="en-GB"/>
        </w:rPr>
        <w:t>: agriculture; computer studies; design and technology; accounting; entrepreneurship; visual art; integrated performing arts; hospitality; and subjects covering metalwork and welding, woodwork, construction, electricity and electronics. At the senior secondary education level, students</w:t>
      </w:r>
      <w:r w:rsidR="00335C6E">
        <w:rPr>
          <w:rFonts w:eastAsia="Times New Roman" w:cstheme="minorHAnsi"/>
          <w:color w:val="000000" w:themeColor="text1"/>
          <w:lang w:val="en-GB" w:eastAsia="en-GB"/>
        </w:rPr>
        <w:t xml:space="preserve"> can</w:t>
      </w:r>
      <w:r w:rsidRPr="00B2488D">
        <w:rPr>
          <w:rFonts w:eastAsia="Times New Roman" w:cstheme="minorHAnsi"/>
          <w:color w:val="000000" w:themeColor="text1"/>
          <w:lang w:val="en-GB" w:eastAsia="en-GB"/>
        </w:rPr>
        <w:t xml:space="preserve"> take a number of core curriculum subjects as well as some electives, including technical and vocational subjects. At Grade 11 students receive the National Senior Secondary Certificate Ordinary and may proceed to Grade 12, </w:t>
      </w:r>
      <w:r w:rsidR="00335C6E">
        <w:rPr>
          <w:rFonts w:eastAsia="Times New Roman" w:cstheme="minorHAnsi"/>
          <w:color w:val="000000" w:themeColor="text1"/>
          <w:lang w:val="en-GB" w:eastAsia="en-GB"/>
        </w:rPr>
        <w:t xml:space="preserve">which includes the option to </w:t>
      </w:r>
      <w:r w:rsidRPr="00B2488D">
        <w:rPr>
          <w:rFonts w:eastAsia="Times New Roman" w:cstheme="minorHAnsi"/>
          <w:color w:val="000000" w:themeColor="text1"/>
          <w:lang w:val="en-GB" w:eastAsia="en-GB"/>
        </w:rPr>
        <w:t xml:space="preserve">attend programmes at vocational education and training institutions, or enter the labour market. TVET programmes at the tertiary level are offered at the </w:t>
      </w:r>
      <w:r w:rsidR="005477E8" w:rsidRPr="00B2488D">
        <w:rPr>
          <w:rFonts w:eastAsia="Times New Roman" w:cstheme="minorHAnsi"/>
          <w:color w:val="000000" w:themeColor="text1"/>
          <w:lang w:val="en-GB" w:eastAsia="en-GB"/>
        </w:rPr>
        <w:t>Namibia University of Science and Technology (NUST), however, there is disconnect between NUST programmes (L6) and those delivered in TVET institutions (L3)</w:t>
      </w:r>
      <w:r w:rsidR="005477E8" w:rsidRPr="00B2488D">
        <w:rPr>
          <w:rStyle w:val="FootnoteReference"/>
          <w:rFonts w:eastAsia="Times New Roman" w:cstheme="minorHAnsi"/>
          <w:color w:val="000000" w:themeColor="text1"/>
          <w:lang w:val="en-GB" w:eastAsia="en-GB"/>
        </w:rPr>
        <w:footnoteReference w:id="10"/>
      </w:r>
      <w:r w:rsidRPr="00B2488D">
        <w:rPr>
          <w:rFonts w:eastAsia="Times New Roman" w:cstheme="minorHAnsi"/>
          <w:color w:val="000000" w:themeColor="text1"/>
          <w:lang w:val="en-GB" w:eastAsia="en-GB"/>
        </w:rPr>
        <w:t xml:space="preserve">. </w:t>
      </w:r>
      <w:r w:rsidR="00E76ED2">
        <w:rPr>
          <w:rFonts w:eastAsia="Times New Roman" w:cstheme="minorHAnsi"/>
          <w:lang w:val="en-GB" w:eastAsia="en-GB"/>
        </w:rPr>
        <w:t xml:space="preserve">Generally, </w:t>
      </w:r>
      <w:r w:rsidR="005477E8">
        <w:rPr>
          <w:rFonts w:eastAsia="Times New Roman" w:cstheme="minorHAnsi"/>
          <w:lang w:val="en-GB" w:eastAsia="en-GB"/>
        </w:rPr>
        <w:t xml:space="preserve">there are </w:t>
      </w:r>
      <w:r w:rsidR="00E76ED2">
        <w:rPr>
          <w:rFonts w:eastAsia="Times New Roman" w:cstheme="minorHAnsi"/>
          <w:lang w:val="en-GB" w:eastAsia="en-GB"/>
        </w:rPr>
        <w:t xml:space="preserve">a lack of formal pathways </w:t>
      </w:r>
      <w:r w:rsidR="005477E8">
        <w:rPr>
          <w:rFonts w:eastAsia="Times New Roman" w:cstheme="minorHAnsi"/>
          <w:lang w:val="en-GB" w:eastAsia="en-GB"/>
        </w:rPr>
        <w:t xml:space="preserve">between TVET and the wider education system. There are </w:t>
      </w:r>
      <w:r w:rsidR="00F15638">
        <w:rPr>
          <w:rFonts w:eastAsia="Times New Roman" w:cstheme="minorHAnsi"/>
          <w:lang w:val="en-GB" w:eastAsia="en-GB"/>
        </w:rPr>
        <w:t xml:space="preserve">also </w:t>
      </w:r>
      <w:r w:rsidR="005477E8">
        <w:rPr>
          <w:rFonts w:eastAsia="Times New Roman" w:cstheme="minorHAnsi"/>
          <w:lang w:val="en-GB" w:eastAsia="en-GB"/>
        </w:rPr>
        <w:t xml:space="preserve">a limited number of technical schools which offer both technical and </w:t>
      </w:r>
      <w:r w:rsidR="005477E8" w:rsidRPr="00E76ED2">
        <w:rPr>
          <w:rFonts w:eastAsia="Times New Roman" w:cstheme="minorHAnsi"/>
          <w:lang w:val="en-GB" w:eastAsia="en-GB"/>
        </w:rPr>
        <w:t>general routes</w:t>
      </w:r>
      <w:r w:rsidR="00F15638" w:rsidRPr="00E76ED2">
        <w:rPr>
          <w:rFonts w:eastAsia="Times New Roman" w:cstheme="minorHAnsi"/>
          <w:lang w:val="en-GB" w:eastAsia="en-GB"/>
        </w:rPr>
        <w:t xml:space="preserve">, this lack of </w:t>
      </w:r>
      <w:r w:rsidR="00D1472B" w:rsidRPr="00E76ED2">
        <w:rPr>
          <w:rFonts w:eastAsia="Times New Roman" w:cstheme="minorHAnsi"/>
          <w:lang w:val="en-GB" w:eastAsia="en-GB"/>
        </w:rPr>
        <w:t>provision</w:t>
      </w:r>
      <w:r w:rsidR="00F15638" w:rsidRPr="00E76ED2">
        <w:rPr>
          <w:rFonts w:eastAsia="Times New Roman" w:cstheme="minorHAnsi"/>
          <w:lang w:val="en-GB" w:eastAsia="en-GB"/>
        </w:rPr>
        <w:t xml:space="preserve"> is currently being addressed by </w:t>
      </w:r>
      <w:r w:rsidR="00D1472B" w:rsidRPr="00E76ED2">
        <w:rPr>
          <w:rFonts w:eastAsia="Times New Roman" w:cstheme="minorHAnsi"/>
          <w:lang w:val="en-GB" w:eastAsia="en-GB"/>
        </w:rPr>
        <w:t xml:space="preserve">NTA, including through the delivery of the </w:t>
      </w:r>
      <w:r w:rsidR="00E76ED2" w:rsidRPr="00E76ED2">
        <w:rPr>
          <w:rFonts w:eastAsia="Times New Roman" w:cstheme="minorHAnsi"/>
          <w:lang w:val="en-GB" w:eastAsia="en-GB"/>
        </w:rPr>
        <w:t>Growth at Home Strategy and the Harambee Prosperity Plan (HPP) that calls for collective intervention to skills development to address skills mismatches across most economic sectors in Namibia.</w:t>
      </w:r>
      <w:r w:rsidR="00E76ED2">
        <w:rPr>
          <w:rStyle w:val="FootnoteReference"/>
          <w:rFonts w:eastAsia="Times New Roman" w:cstheme="minorHAnsi"/>
          <w:lang w:val="en-GB" w:eastAsia="en-GB"/>
        </w:rPr>
        <w:footnoteReference w:id="11"/>
      </w:r>
      <w:r w:rsidR="000F50FA">
        <w:rPr>
          <w:rFonts w:eastAsia="Times New Roman" w:cstheme="minorHAnsi"/>
          <w:lang w:val="en-GB" w:eastAsia="en-GB"/>
        </w:rPr>
        <w:t xml:space="preserve"> </w:t>
      </w:r>
      <w:r w:rsidR="005477E8">
        <w:rPr>
          <w:rFonts w:eastAsia="Times New Roman" w:cstheme="minorHAnsi"/>
          <w:lang w:val="en-GB" w:eastAsia="en-GB"/>
        </w:rPr>
        <w:t xml:space="preserve">There </w:t>
      </w:r>
      <w:r w:rsidR="00335C6E">
        <w:rPr>
          <w:rFonts w:eastAsia="Times New Roman" w:cstheme="minorHAnsi"/>
          <w:lang w:val="en-GB" w:eastAsia="en-GB"/>
        </w:rPr>
        <w:t>are</w:t>
      </w:r>
      <w:r w:rsidR="005477E8">
        <w:rPr>
          <w:rFonts w:eastAsia="Times New Roman" w:cstheme="minorHAnsi"/>
          <w:lang w:val="en-GB" w:eastAsia="en-GB"/>
        </w:rPr>
        <w:t xml:space="preserve"> </w:t>
      </w:r>
      <w:r w:rsidR="005477E8">
        <w:rPr>
          <w:rFonts w:eastAsia="Times New Roman" w:cstheme="minorHAnsi"/>
          <w:lang w:val="en-GB" w:eastAsia="en-GB"/>
        </w:rPr>
        <w:lastRenderedPageBreak/>
        <w:t>a</w:t>
      </w:r>
      <w:r w:rsidR="000F50FA">
        <w:rPr>
          <w:rFonts w:eastAsia="Times New Roman" w:cstheme="minorHAnsi"/>
          <w:lang w:val="en-GB" w:eastAsia="en-GB"/>
        </w:rPr>
        <w:t xml:space="preserve">lso </w:t>
      </w:r>
      <w:r w:rsidR="005477E8">
        <w:rPr>
          <w:rFonts w:eastAsia="Times New Roman" w:cstheme="minorHAnsi"/>
          <w:lang w:val="en-GB" w:eastAsia="en-GB"/>
        </w:rPr>
        <w:t xml:space="preserve">a lack of pathways between TVET (formal and non-formal) and general education, </w:t>
      </w:r>
      <w:r w:rsidR="008E0286">
        <w:rPr>
          <w:rFonts w:eastAsia="Times New Roman" w:cstheme="minorHAnsi"/>
          <w:lang w:val="en-GB" w:eastAsia="en-GB"/>
        </w:rPr>
        <w:t>and</w:t>
      </w:r>
      <w:r w:rsidR="000F50FA">
        <w:rPr>
          <w:rFonts w:eastAsia="Times New Roman" w:cstheme="minorHAnsi"/>
          <w:lang w:val="en-GB" w:eastAsia="en-GB"/>
        </w:rPr>
        <w:t xml:space="preserve"> even</w:t>
      </w:r>
      <w:r w:rsidR="008E0286">
        <w:rPr>
          <w:rFonts w:eastAsia="Times New Roman" w:cstheme="minorHAnsi"/>
          <w:lang w:val="en-GB" w:eastAsia="en-GB"/>
        </w:rPr>
        <w:t xml:space="preserve"> between NUST and TVET centres, due a lack of coverage of levels 4 and 5. </w:t>
      </w:r>
      <w:r w:rsidR="000F50FA">
        <w:rPr>
          <w:rFonts w:eastAsia="Times New Roman" w:cstheme="minorHAnsi"/>
          <w:lang w:val="en-GB" w:eastAsia="en-GB"/>
        </w:rPr>
        <w:t>The provision of TVET at these two levels is also an NTA priority.</w:t>
      </w:r>
    </w:p>
    <w:p w14:paraId="24F2DC82" w14:textId="052D482A" w:rsidR="003946AE" w:rsidRPr="003946AE" w:rsidRDefault="003946AE" w:rsidP="00B324CF">
      <w:pPr>
        <w:spacing w:after="120"/>
        <w:rPr>
          <w:rFonts w:eastAsia="Times New Roman" w:cstheme="minorHAnsi"/>
          <w:b/>
          <w:bCs/>
          <w:lang w:val="en-GB" w:eastAsia="en-GB"/>
        </w:rPr>
      </w:pPr>
      <w:r w:rsidRPr="003946AE">
        <w:rPr>
          <w:rFonts w:eastAsia="Times New Roman" w:cstheme="minorHAnsi"/>
          <w:b/>
          <w:bCs/>
          <w:lang w:val="en-GB" w:eastAsia="en-GB"/>
        </w:rPr>
        <w:t>The Namibian TVET System</w:t>
      </w:r>
    </w:p>
    <w:p w14:paraId="15214472" w14:textId="10F99D45" w:rsidR="00BC276E" w:rsidRDefault="00BC276E" w:rsidP="00BC276E">
      <w:pPr>
        <w:spacing w:after="120"/>
        <w:jc w:val="center"/>
        <w:rPr>
          <w:rFonts w:eastAsia="Times New Roman" w:cstheme="minorHAnsi"/>
          <w:lang w:val="en-GB" w:eastAsia="en-GB"/>
        </w:rPr>
      </w:pPr>
      <w:r w:rsidRPr="00BC276E">
        <w:rPr>
          <w:rFonts w:eastAsia="Times New Roman" w:cstheme="minorHAnsi"/>
          <w:noProof/>
          <w:lang w:val="en-US"/>
        </w:rPr>
        <w:drawing>
          <wp:inline distT="0" distB="0" distL="0" distR="0" wp14:anchorId="531315F0" wp14:editId="02D409DB">
            <wp:extent cx="4772025" cy="6149947"/>
            <wp:effectExtent l="0" t="0" r="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82904" cy="6163967"/>
                    </a:xfrm>
                    <a:prstGeom prst="rect">
                      <a:avLst/>
                    </a:prstGeom>
                  </pic:spPr>
                </pic:pic>
              </a:graphicData>
            </a:graphic>
          </wp:inline>
        </w:drawing>
      </w:r>
    </w:p>
    <w:p w14:paraId="45E2E764" w14:textId="31D6C321" w:rsidR="00BC276E" w:rsidRPr="003946AE" w:rsidRDefault="003946AE" w:rsidP="003946AE">
      <w:pPr>
        <w:spacing w:after="120"/>
        <w:ind w:left="1134"/>
        <w:rPr>
          <w:rFonts w:eastAsia="Times New Roman" w:cstheme="minorHAnsi"/>
          <w:sz w:val="16"/>
          <w:szCs w:val="16"/>
          <w:lang w:val="en-GB" w:eastAsia="en-GB"/>
        </w:rPr>
      </w:pPr>
      <w:r w:rsidRPr="003946AE">
        <w:rPr>
          <w:rFonts w:eastAsia="Times New Roman" w:cstheme="minorHAnsi"/>
          <w:sz w:val="16"/>
          <w:szCs w:val="16"/>
          <w:lang w:val="en-GB" w:eastAsia="en-GB"/>
        </w:rPr>
        <w:t xml:space="preserve">Source: </w:t>
      </w:r>
      <w:r w:rsidRPr="003946AE">
        <w:rPr>
          <w:sz w:val="16"/>
          <w:szCs w:val="16"/>
          <w:lang w:val="en-US"/>
        </w:rPr>
        <w:t xml:space="preserve">World TVET Database, Namibia (UNEVCO 2015) </w:t>
      </w:r>
      <w:hyperlink r:id="rId9" w:history="1">
        <w:r w:rsidRPr="003946AE">
          <w:rPr>
            <w:rStyle w:val="Hyperlink"/>
            <w:sz w:val="16"/>
            <w:szCs w:val="16"/>
            <w:lang w:val="en-GB"/>
          </w:rPr>
          <w:t>https://unevoc.unesco.org/wtdb/worldtvetdatabase_nam_en.pdf</w:t>
        </w:r>
      </w:hyperlink>
    </w:p>
    <w:p w14:paraId="6A4A3E96" w14:textId="63001D3B" w:rsidR="00F8235B" w:rsidRDefault="00111106" w:rsidP="00B324CF">
      <w:pPr>
        <w:spacing w:after="120" w:line="276" w:lineRule="auto"/>
        <w:rPr>
          <w:rFonts w:eastAsia="Times New Roman" w:cstheme="minorHAnsi"/>
          <w:shd w:val="clear" w:color="auto" w:fill="FFFFFF"/>
          <w:lang w:val="en-GB" w:eastAsia="en-GB"/>
        </w:rPr>
      </w:pPr>
      <w:r w:rsidRPr="00C34647">
        <w:rPr>
          <w:rFonts w:eastAsia="Times New Roman" w:cstheme="minorHAnsi"/>
          <w:shd w:val="clear" w:color="auto" w:fill="FFFFFF"/>
          <w:lang w:val="en-GB" w:eastAsia="en-GB"/>
        </w:rPr>
        <w:t>There are also challenges resulting from the limited relevance of TVET to the labour ma</w:t>
      </w:r>
      <w:r w:rsidR="00F8235B" w:rsidRPr="00C34647">
        <w:rPr>
          <w:rFonts w:eastAsia="Times New Roman" w:cstheme="minorHAnsi"/>
          <w:shd w:val="clear" w:color="auto" w:fill="FFFFFF"/>
          <w:lang w:val="en-GB" w:eastAsia="en-GB"/>
        </w:rPr>
        <w:t xml:space="preserve">rket. This is part due to the difficulty in finding job placements to support WIL practical experience. Due to </w:t>
      </w:r>
      <w:r w:rsidR="00C34647" w:rsidRPr="00C34647">
        <w:rPr>
          <w:rFonts w:eastAsia="Times New Roman" w:cstheme="minorHAnsi"/>
          <w:shd w:val="clear" w:color="auto" w:fill="FFFFFF"/>
          <w:lang w:val="en-GB" w:eastAsia="en-GB"/>
        </w:rPr>
        <w:t xml:space="preserve">the </w:t>
      </w:r>
      <w:r w:rsidR="00C34647" w:rsidRPr="00111106">
        <w:rPr>
          <w:rFonts w:eastAsia="Times New Roman" w:cstheme="minorHAnsi"/>
          <w:shd w:val="clear" w:color="auto" w:fill="FFFFFF"/>
          <w:lang w:val="en-GB" w:eastAsia="en-GB"/>
        </w:rPr>
        <w:t>frailty of Namibian small</w:t>
      </w:r>
      <w:r w:rsidRPr="00111106">
        <w:rPr>
          <w:rFonts w:eastAsia="Times New Roman" w:cstheme="minorHAnsi"/>
          <w:shd w:val="clear" w:color="auto" w:fill="FFFFFF"/>
          <w:lang w:val="en-GB" w:eastAsia="en-GB"/>
        </w:rPr>
        <w:t xml:space="preserve"> and micro-enterprises and the paucity of larger, formal firms, </w:t>
      </w:r>
      <w:r w:rsidR="00335C6E">
        <w:rPr>
          <w:rFonts w:eastAsia="Times New Roman" w:cstheme="minorHAnsi"/>
          <w:shd w:val="clear" w:color="auto" w:fill="FFFFFF"/>
          <w:lang w:val="en-GB" w:eastAsia="en-GB"/>
        </w:rPr>
        <w:t xml:space="preserve">TVET sector </w:t>
      </w:r>
      <w:r w:rsidRPr="00111106">
        <w:rPr>
          <w:rFonts w:eastAsia="Times New Roman" w:cstheme="minorHAnsi"/>
          <w:shd w:val="clear" w:color="auto" w:fill="FFFFFF"/>
          <w:lang w:val="en-GB" w:eastAsia="en-GB"/>
        </w:rPr>
        <w:t>trainees struggle to find placements</w:t>
      </w:r>
      <w:r w:rsidR="00335C6E">
        <w:rPr>
          <w:rFonts w:eastAsia="Times New Roman" w:cstheme="minorHAnsi"/>
          <w:shd w:val="clear" w:color="auto" w:fill="FFFFFF"/>
          <w:lang w:val="en-GB" w:eastAsia="en-GB"/>
        </w:rPr>
        <w:t>, or when they do, quality ones</w:t>
      </w:r>
      <w:r w:rsidRPr="00111106">
        <w:rPr>
          <w:rFonts w:eastAsia="Times New Roman" w:cstheme="minorHAnsi"/>
          <w:shd w:val="clear" w:color="auto" w:fill="FFFFFF"/>
          <w:lang w:val="en-GB" w:eastAsia="en-GB"/>
        </w:rPr>
        <w:t xml:space="preserve">. Trainees who do not find </w:t>
      </w:r>
      <w:r w:rsidR="00C34647" w:rsidRPr="00111106">
        <w:rPr>
          <w:rFonts w:eastAsia="Times New Roman" w:cstheme="minorHAnsi"/>
          <w:shd w:val="clear" w:color="auto" w:fill="FFFFFF"/>
          <w:lang w:val="en-GB" w:eastAsia="en-GB"/>
        </w:rPr>
        <w:t>a placement lack initial work experience and are disadvantaged when they</w:t>
      </w:r>
      <w:r w:rsidRPr="00111106">
        <w:rPr>
          <w:rFonts w:eastAsia="Times New Roman" w:cstheme="minorHAnsi"/>
          <w:shd w:val="clear" w:color="auto" w:fill="FFFFFF"/>
          <w:lang w:val="en-GB" w:eastAsia="en-GB"/>
        </w:rPr>
        <w:t xml:space="preserve"> enter the labour market.  </w:t>
      </w:r>
      <w:r w:rsidR="00C34647" w:rsidRPr="00111106">
        <w:rPr>
          <w:rFonts w:eastAsia="Times New Roman" w:cstheme="minorHAnsi"/>
          <w:shd w:val="clear" w:color="auto" w:fill="FFFFFF"/>
          <w:lang w:val="en-GB" w:eastAsia="en-GB"/>
        </w:rPr>
        <w:t>At present, the challenge</w:t>
      </w:r>
      <w:r w:rsidRPr="00111106">
        <w:rPr>
          <w:rFonts w:eastAsia="Times New Roman" w:cstheme="minorHAnsi"/>
          <w:shd w:val="clear" w:color="auto" w:fill="FFFFFF"/>
          <w:lang w:val="en-GB" w:eastAsia="en-GB"/>
        </w:rPr>
        <w:t xml:space="preserve"> is most serious for trainees at lower levels of the NQF and in centres lacking established relationships with firms. </w:t>
      </w:r>
      <w:r w:rsidR="00F8235B" w:rsidRPr="00C34647">
        <w:rPr>
          <w:rFonts w:eastAsia="Times New Roman" w:cstheme="minorHAnsi"/>
          <w:shd w:val="clear" w:color="auto" w:fill="FFFFFF"/>
          <w:lang w:val="en-GB" w:eastAsia="en-GB"/>
        </w:rPr>
        <w:lastRenderedPageBreak/>
        <w:t xml:space="preserve">There are also issues with </w:t>
      </w:r>
      <w:r w:rsidRPr="00111106">
        <w:rPr>
          <w:rFonts w:eastAsia="Times New Roman" w:cstheme="minorHAnsi"/>
          <w:shd w:val="clear" w:color="auto" w:fill="FFFFFF"/>
          <w:lang w:val="en-GB" w:eastAsia="en-GB"/>
        </w:rPr>
        <w:t>gender-based discrimination from employers</w:t>
      </w:r>
      <w:r w:rsidR="00F8235B" w:rsidRPr="00C34647">
        <w:rPr>
          <w:rFonts w:eastAsia="Times New Roman" w:cstheme="minorHAnsi"/>
          <w:shd w:val="clear" w:color="auto" w:fill="FFFFFF"/>
          <w:lang w:val="en-GB" w:eastAsia="en-GB"/>
        </w:rPr>
        <w:t xml:space="preserve">, for example, </w:t>
      </w:r>
      <w:r w:rsidRPr="00111106">
        <w:rPr>
          <w:rFonts w:eastAsia="Times New Roman" w:cstheme="minorHAnsi"/>
          <w:shd w:val="clear" w:color="auto" w:fill="FFFFFF"/>
          <w:lang w:val="en-GB" w:eastAsia="en-GB"/>
        </w:rPr>
        <w:t>garage owners refused female trainees in car mechanics</w:t>
      </w:r>
      <w:r w:rsidR="00F8235B" w:rsidRPr="00C34647">
        <w:rPr>
          <w:rStyle w:val="FootnoteReference"/>
          <w:rFonts w:eastAsia="Times New Roman" w:cstheme="minorHAnsi"/>
          <w:shd w:val="clear" w:color="auto" w:fill="FFFFFF"/>
          <w:lang w:val="en-GB" w:eastAsia="en-GB"/>
        </w:rPr>
        <w:footnoteReference w:id="12"/>
      </w:r>
      <w:r w:rsidRPr="00111106">
        <w:rPr>
          <w:rFonts w:eastAsia="Times New Roman" w:cstheme="minorHAnsi"/>
          <w:shd w:val="clear" w:color="auto" w:fill="FFFFFF"/>
          <w:lang w:val="en-GB" w:eastAsia="en-GB"/>
        </w:rPr>
        <w:t xml:space="preserve">. </w:t>
      </w:r>
      <w:r w:rsidR="00F8235B" w:rsidRPr="00C34647">
        <w:rPr>
          <w:rFonts w:eastAsia="Times New Roman" w:cstheme="minorHAnsi"/>
          <w:shd w:val="clear" w:color="auto" w:fill="FFFFFF"/>
          <w:lang w:val="en-GB" w:eastAsia="en-GB"/>
        </w:rPr>
        <w:t>This emphasises the need for a policy of incentives for firms to take trainees and the introduction of a formalised process for job placements (instead of the current fragmented approach)</w:t>
      </w:r>
      <w:r w:rsidR="00C34647" w:rsidRPr="00C34647">
        <w:rPr>
          <w:rFonts w:eastAsia="Times New Roman" w:cstheme="minorHAnsi"/>
          <w:shd w:val="clear" w:color="auto" w:fill="FFFFFF"/>
          <w:lang w:val="en-GB" w:eastAsia="en-GB"/>
        </w:rPr>
        <w:t xml:space="preserve">. </w:t>
      </w:r>
    </w:p>
    <w:p w14:paraId="602BD83B" w14:textId="62747614" w:rsidR="005D22E8" w:rsidRPr="001C7773" w:rsidRDefault="008E0286" w:rsidP="00B324CF">
      <w:pPr>
        <w:spacing w:after="120" w:line="276" w:lineRule="auto"/>
        <w:rPr>
          <w:rFonts w:eastAsia="Times New Roman" w:cstheme="minorHAnsi"/>
          <w:b/>
          <w:bCs/>
          <w:lang w:val="en-GB" w:eastAsia="en-GB"/>
        </w:rPr>
      </w:pPr>
      <w:r>
        <w:rPr>
          <w:rFonts w:eastAsia="Times New Roman" w:cstheme="minorHAnsi"/>
          <w:b/>
          <w:bCs/>
          <w:lang w:val="en-GB" w:eastAsia="en-GB"/>
        </w:rPr>
        <w:t>Non-formal</w:t>
      </w:r>
      <w:r w:rsidR="00FF4085" w:rsidRPr="001C7773">
        <w:rPr>
          <w:rFonts w:eastAsia="Times New Roman" w:cstheme="minorHAnsi"/>
          <w:b/>
          <w:bCs/>
          <w:lang w:val="en-GB" w:eastAsia="en-GB"/>
        </w:rPr>
        <w:t xml:space="preserve"> VET</w:t>
      </w:r>
    </w:p>
    <w:p w14:paraId="1D287FD4" w14:textId="5683FC65" w:rsidR="0082176A" w:rsidRPr="0082176A" w:rsidRDefault="0082176A" w:rsidP="00B324CF">
      <w:pPr>
        <w:spacing w:after="120" w:line="276" w:lineRule="auto"/>
        <w:rPr>
          <w:rFonts w:eastAsia="Times New Roman" w:cstheme="minorHAnsi"/>
          <w:lang w:val="en-GB" w:eastAsia="en-GB"/>
        </w:rPr>
      </w:pPr>
      <w:r w:rsidRPr="0082176A">
        <w:rPr>
          <w:rFonts w:eastAsia="Times New Roman" w:cstheme="minorHAnsi"/>
          <w:lang w:val="en-GB" w:eastAsia="en-GB"/>
        </w:rPr>
        <w:t xml:space="preserve">Non-formal TVET programmes </w:t>
      </w:r>
      <w:r w:rsidR="000F50FA">
        <w:rPr>
          <w:rFonts w:eastAsia="Times New Roman" w:cstheme="minorHAnsi"/>
          <w:lang w:val="en-GB" w:eastAsia="en-GB"/>
        </w:rPr>
        <w:t xml:space="preserve">in Namibia </w:t>
      </w:r>
      <w:r w:rsidRPr="0082176A">
        <w:rPr>
          <w:rFonts w:eastAsia="Times New Roman" w:cstheme="minorHAnsi"/>
          <w:lang w:val="en-GB" w:eastAsia="en-GB"/>
        </w:rPr>
        <w:t>are provided by the private sector, non</w:t>
      </w:r>
      <w:r w:rsidR="001C7773" w:rsidRPr="001C7773">
        <w:rPr>
          <w:rFonts w:eastAsia="Times New Roman" w:cstheme="minorHAnsi"/>
          <w:lang w:val="en-GB" w:eastAsia="en-GB"/>
        </w:rPr>
        <w:t>-</w:t>
      </w:r>
      <w:r w:rsidRPr="0082176A">
        <w:rPr>
          <w:rFonts w:eastAsia="Times New Roman" w:cstheme="minorHAnsi"/>
          <w:lang w:val="en-GB" w:eastAsia="en-GB"/>
        </w:rPr>
        <w:t>government organisations (NGOs), religious organisations and vocational training and community skills development centres (COSDECs). NGOs and religious organisations tend to target socio-economically deprived sections of society offering TVET programmes to unemployed youth, women and the disabled</w:t>
      </w:r>
      <w:r w:rsidR="000F50FA">
        <w:rPr>
          <w:rStyle w:val="FootnoteReference"/>
          <w:rFonts w:eastAsia="Times New Roman" w:cstheme="minorHAnsi"/>
          <w:lang w:val="en-GB" w:eastAsia="en-GB"/>
        </w:rPr>
        <w:footnoteReference w:id="13"/>
      </w:r>
      <w:r w:rsidRPr="0082176A">
        <w:rPr>
          <w:rFonts w:eastAsia="Times New Roman" w:cstheme="minorHAnsi"/>
          <w:lang w:val="en-GB" w:eastAsia="en-GB"/>
        </w:rPr>
        <w:t xml:space="preserve">. COSDECs, run by the Community Skills Development Foundation (COSDEF), offer short-term TVET programmes. </w:t>
      </w:r>
      <w:r w:rsidR="008E0286">
        <w:rPr>
          <w:rFonts w:eastAsia="Times New Roman" w:cstheme="minorHAnsi"/>
          <w:lang w:val="en-GB" w:eastAsia="en-GB"/>
        </w:rPr>
        <w:t>There are issues with trainees from non-formal TVET, for example form COSDEC’s, being unlikely to be admitted to formal centres for further skills development.</w:t>
      </w:r>
      <w:r w:rsidR="008E0286">
        <w:rPr>
          <w:rStyle w:val="FootnoteReference"/>
          <w:rFonts w:eastAsia="Times New Roman" w:cstheme="minorHAnsi"/>
          <w:lang w:val="en-GB" w:eastAsia="en-GB"/>
        </w:rPr>
        <w:footnoteReference w:id="14"/>
      </w:r>
      <w:r w:rsidR="008E0286">
        <w:rPr>
          <w:rFonts w:eastAsia="Times New Roman" w:cstheme="minorHAnsi"/>
          <w:lang w:val="en-GB" w:eastAsia="en-GB"/>
        </w:rPr>
        <w:t xml:space="preserve"> </w:t>
      </w:r>
    </w:p>
    <w:p w14:paraId="2087EC1B" w14:textId="160A04C4" w:rsidR="00C34647" w:rsidRPr="00C34647" w:rsidRDefault="00FF4085" w:rsidP="00B324CF">
      <w:pPr>
        <w:spacing w:after="120" w:line="276" w:lineRule="auto"/>
        <w:rPr>
          <w:lang w:val="en-GB"/>
        </w:rPr>
      </w:pPr>
      <w:r>
        <w:rPr>
          <w:lang w:val="en-GB"/>
        </w:rPr>
        <w:t>The introduction of WIL procedures and guidelines can be seen as a response to calls for the transformation of the existing TVET system.</w:t>
      </w:r>
      <w:r>
        <w:rPr>
          <w:rStyle w:val="FootnoteReference"/>
          <w:lang w:val="en-GB"/>
        </w:rPr>
        <w:footnoteReference w:id="15"/>
      </w:r>
      <w:r>
        <w:rPr>
          <w:lang w:val="en-GB"/>
        </w:rPr>
        <w:t xml:space="preserve"> Provision is often insufficient to meet demand </w:t>
      </w:r>
      <w:r w:rsidR="009D6CB6">
        <w:rPr>
          <w:lang w:val="en-GB"/>
        </w:rPr>
        <w:t>with</w:t>
      </w:r>
      <w:r>
        <w:rPr>
          <w:lang w:val="en-GB"/>
        </w:rPr>
        <w:t xml:space="preserve"> fragmented</w:t>
      </w:r>
      <w:r w:rsidR="009D6CB6">
        <w:rPr>
          <w:lang w:val="en-GB"/>
        </w:rPr>
        <w:t xml:space="preserve"> approaches</w:t>
      </w:r>
      <w:r>
        <w:rPr>
          <w:lang w:val="en-GB"/>
        </w:rPr>
        <w:t xml:space="preserve"> between different providers.  There are issues with retention, relevance, funding and quality.</w:t>
      </w:r>
    </w:p>
    <w:p w14:paraId="12744B58" w14:textId="2BC7B8D5" w:rsidR="005A7ACB" w:rsidRPr="00B2488D" w:rsidRDefault="00CF0B66" w:rsidP="00B52F47">
      <w:pPr>
        <w:pBdr>
          <w:bottom w:val="single" w:sz="4" w:space="1" w:color="auto"/>
        </w:pBdr>
        <w:rPr>
          <w:b/>
          <w:bCs/>
          <w:sz w:val="24"/>
          <w:szCs w:val="24"/>
          <w:lang w:val="en-GB"/>
        </w:rPr>
      </w:pPr>
      <w:r w:rsidRPr="00B2488D">
        <w:rPr>
          <w:b/>
          <w:bCs/>
          <w:sz w:val="24"/>
          <w:szCs w:val="24"/>
          <w:lang w:val="en-GB"/>
        </w:rPr>
        <w:t xml:space="preserve">The </w:t>
      </w:r>
      <w:r w:rsidR="00B324CF">
        <w:rPr>
          <w:b/>
          <w:bCs/>
          <w:sz w:val="24"/>
          <w:szCs w:val="24"/>
          <w:lang w:val="en-GB"/>
        </w:rPr>
        <w:t>Initiative:</w:t>
      </w:r>
      <w:r w:rsidR="00462314" w:rsidRPr="00B2488D">
        <w:rPr>
          <w:b/>
          <w:bCs/>
          <w:sz w:val="24"/>
          <w:szCs w:val="24"/>
          <w:lang w:val="en-GB"/>
        </w:rPr>
        <w:t xml:space="preserve"> Procedures and guidelines for the implementation of work-integrated </w:t>
      </w:r>
      <w:r w:rsidR="009C09E1" w:rsidRPr="00B2488D">
        <w:rPr>
          <w:b/>
          <w:bCs/>
          <w:sz w:val="24"/>
          <w:szCs w:val="24"/>
          <w:lang w:val="en-GB"/>
        </w:rPr>
        <w:t>learning policy in Namibia</w:t>
      </w:r>
    </w:p>
    <w:p w14:paraId="4234CA96" w14:textId="77777777" w:rsidR="00B324CF" w:rsidRPr="00B324CF" w:rsidRDefault="00B324CF" w:rsidP="009D6CB6">
      <w:pPr>
        <w:spacing w:line="276" w:lineRule="auto"/>
        <w:rPr>
          <w:rFonts w:cstheme="minorHAnsi"/>
          <w:b/>
          <w:bCs/>
          <w:lang w:val="en-GB"/>
        </w:rPr>
      </w:pPr>
      <w:r w:rsidRPr="00B324CF">
        <w:rPr>
          <w:rFonts w:cstheme="minorHAnsi"/>
          <w:b/>
          <w:bCs/>
          <w:lang w:val="en-GB"/>
        </w:rPr>
        <w:t>Background</w:t>
      </w:r>
    </w:p>
    <w:p w14:paraId="73EEA869" w14:textId="78BE93B0" w:rsidR="008F3B66" w:rsidRPr="000A7B59" w:rsidRDefault="009C09E1" w:rsidP="009D6CB6">
      <w:pPr>
        <w:spacing w:line="276" w:lineRule="auto"/>
        <w:rPr>
          <w:rFonts w:eastAsia="Times New Roman" w:cstheme="minorHAnsi"/>
          <w:lang w:val="en-GB" w:eastAsia="en-GB"/>
        </w:rPr>
      </w:pPr>
      <w:r w:rsidRPr="00C34647">
        <w:rPr>
          <w:rFonts w:cstheme="minorHAnsi"/>
          <w:lang w:val="en-GB"/>
        </w:rPr>
        <w:t>The apprenticeship intervention described in this report is a series of procedures and guidelines</w:t>
      </w:r>
      <w:r w:rsidR="008F3B66" w:rsidRPr="00C34647">
        <w:rPr>
          <w:rFonts w:cstheme="minorHAnsi"/>
          <w:lang w:val="en-GB"/>
        </w:rPr>
        <w:t xml:space="preserve"> (‘guidelines’)</w:t>
      </w:r>
      <w:r w:rsidRPr="00C34647">
        <w:rPr>
          <w:rFonts w:cstheme="minorHAnsi"/>
          <w:lang w:val="en-GB"/>
        </w:rPr>
        <w:t xml:space="preserve"> that have been developed by NTA to support the implementation of the strategic objectives </w:t>
      </w:r>
      <w:r w:rsidR="001C7773" w:rsidRPr="00C34647">
        <w:rPr>
          <w:rFonts w:cstheme="minorHAnsi"/>
          <w:lang w:val="en-GB"/>
        </w:rPr>
        <w:t xml:space="preserve">and mitigate challenges </w:t>
      </w:r>
      <w:r w:rsidRPr="00C34647">
        <w:rPr>
          <w:rFonts w:cstheme="minorHAnsi"/>
          <w:lang w:val="en-GB"/>
        </w:rPr>
        <w:t>outlined in the previous section</w:t>
      </w:r>
      <w:r w:rsidR="001C7773" w:rsidRPr="00C34647">
        <w:rPr>
          <w:rFonts w:cstheme="minorHAnsi"/>
          <w:lang w:val="en-GB"/>
        </w:rPr>
        <w:t xml:space="preserve">. The guidelines outline </w:t>
      </w:r>
      <w:r w:rsidRPr="009C09E1">
        <w:rPr>
          <w:rFonts w:eastAsia="Times New Roman" w:cstheme="minorHAnsi"/>
          <w:lang w:val="en-GB" w:eastAsia="en-GB"/>
        </w:rPr>
        <w:t>procedures governing the planning, implementation, monitoring and management of the WIL Policy</w:t>
      </w:r>
      <w:r w:rsidR="00C34647" w:rsidRPr="00C34647">
        <w:rPr>
          <w:rFonts w:eastAsia="Times New Roman" w:cstheme="minorHAnsi"/>
          <w:lang w:val="en-GB" w:eastAsia="en-GB"/>
        </w:rPr>
        <w:t xml:space="preserve"> and </w:t>
      </w:r>
      <w:r w:rsidR="008F3B66" w:rsidRPr="00C34647">
        <w:rPr>
          <w:rFonts w:eastAsia="Times New Roman" w:cstheme="minorHAnsi"/>
          <w:lang w:val="en-GB" w:eastAsia="en-GB"/>
        </w:rPr>
        <w:t>provide a framework that promotes; ‘</w:t>
      </w:r>
      <w:r w:rsidR="008F3B66" w:rsidRPr="009C09E1">
        <w:rPr>
          <w:rFonts w:eastAsia="Times New Roman" w:cstheme="minorHAnsi"/>
          <w:i/>
          <w:iCs/>
          <w:lang w:val="en-GB" w:eastAsia="en-GB"/>
        </w:rPr>
        <w:t>collective intervention to skills development to address skills mismatches across most economic sectors in Namibia</w:t>
      </w:r>
      <w:r w:rsidR="008F3B66" w:rsidRPr="00C34647">
        <w:rPr>
          <w:rFonts w:eastAsia="Times New Roman" w:cstheme="minorHAnsi"/>
          <w:i/>
          <w:iCs/>
          <w:lang w:val="en-GB" w:eastAsia="en-GB"/>
        </w:rPr>
        <w:t>’</w:t>
      </w:r>
      <w:r w:rsidR="008F3B66" w:rsidRPr="009C09E1">
        <w:rPr>
          <w:rFonts w:eastAsia="Times New Roman" w:cstheme="minorHAnsi"/>
          <w:i/>
          <w:iCs/>
          <w:lang w:val="en-GB" w:eastAsia="en-GB"/>
        </w:rPr>
        <w:t>.</w:t>
      </w:r>
      <w:r w:rsidR="008F3B66" w:rsidRPr="00C34647">
        <w:rPr>
          <w:rStyle w:val="FootnoteReference"/>
          <w:rFonts w:eastAsia="Times New Roman" w:cstheme="minorHAnsi"/>
          <w:i/>
          <w:iCs/>
          <w:lang w:val="en-GB" w:eastAsia="en-GB"/>
        </w:rPr>
        <w:footnoteReference w:id="16"/>
      </w:r>
      <w:r w:rsidR="000A7B59">
        <w:rPr>
          <w:rFonts w:eastAsia="Times New Roman" w:cstheme="minorHAnsi"/>
          <w:i/>
          <w:iCs/>
          <w:lang w:val="en-GB" w:eastAsia="en-GB"/>
        </w:rPr>
        <w:t xml:space="preserve"> </w:t>
      </w:r>
      <w:r w:rsidR="000A7B59">
        <w:rPr>
          <w:rFonts w:eastAsia="Times New Roman" w:cstheme="minorHAnsi"/>
          <w:lang w:val="en-GB" w:eastAsia="en-GB"/>
        </w:rPr>
        <w:t xml:space="preserve">An important </w:t>
      </w:r>
      <w:r w:rsidR="009D6CB6">
        <w:rPr>
          <w:rFonts w:eastAsia="Times New Roman" w:cstheme="minorHAnsi"/>
          <w:lang w:val="en-GB" w:eastAsia="en-GB"/>
        </w:rPr>
        <w:t>element</w:t>
      </w:r>
      <w:r w:rsidR="000A7B59">
        <w:rPr>
          <w:rFonts w:eastAsia="Times New Roman" w:cstheme="minorHAnsi"/>
          <w:lang w:val="en-GB" w:eastAsia="en-GB"/>
        </w:rPr>
        <w:t xml:space="preserve"> of these guidelines is that they are linked to funding (drawn from </w:t>
      </w:r>
      <w:r w:rsidR="00CC6B77">
        <w:rPr>
          <w:rFonts w:eastAsia="Times New Roman" w:cstheme="minorHAnsi"/>
          <w:lang w:val="en-GB" w:eastAsia="en-GB"/>
        </w:rPr>
        <w:t>Namibia’s</w:t>
      </w:r>
      <w:r w:rsidR="000A7B59">
        <w:rPr>
          <w:rFonts w:eastAsia="Times New Roman" w:cstheme="minorHAnsi"/>
          <w:lang w:val="en-GB" w:eastAsia="en-GB"/>
        </w:rPr>
        <w:t xml:space="preserve"> training levy) that apprentices and employers can access for WIL delivery</w:t>
      </w:r>
      <w:r w:rsidR="000A7B59">
        <w:rPr>
          <w:rStyle w:val="FootnoteReference"/>
          <w:rFonts w:eastAsia="Times New Roman" w:cstheme="minorHAnsi"/>
          <w:lang w:val="en-GB" w:eastAsia="en-GB"/>
        </w:rPr>
        <w:footnoteReference w:id="17"/>
      </w:r>
      <w:r w:rsidR="000A7B59">
        <w:rPr>
          <w:rFonts w:eastAsia="Times New Roman" w:cstheme="minorHAnsi"/>
          <w:lang w:val="en-GB" w:eastAsia="en-GB"/>
        </w:rPr>
        <w:t xml:space="preserve">. This will have a significant motivational impact for the update of the guidelines and demonstrates how funding can be utilised to drive strong WIL practice. </w:t>
      </w:r>
    </w:p>
    <w:p w14:paraId="3FEADF0E" w14:textId="7BCF86DC" w:rsidR="009C09E1" w:rsidRPr="00667C11" w:rsidRDefault="00C34647" w:rsidP="007642AC">
      <w:pPr>
        <w:rPr>
          <w:rFonts w:eastAsia="Times New Roman" w:cstheme="minorHAnsi"/>
          <w:lang w:val="en-GB" w:eastAsia="en-GB"/>
        </w:rPr>
      </w:pPr>
      <w:r w:rsidRPr="00C34647">
        <w:rPr>
          <w:rFonts w:eastAsia="Times New Roman" w:cstheme="minorHAnsi"/>
          <w:lang w:val="en-GB" w:eastAsia="en-GB"/>
        </w:rPr>
        <w:t xml:space="preserve">The initiative’s key </w:t>
      </w:r>
      <w:r w:rsidR="008F3B66" w:rsidRPr="00C34647">
        <w:rPr>
          <w:rFonts w:cstheme="minorHAnsi"/>
          <w:lang w:val="en-GB"/>
        </w:rPr>
        <w:t>strategic objective to promote private sector engagement and training relevance through models that facilitate the re-introduction of apprenticeships and formalise WIL</w:t>
      </w:r>
      <w:r w:rsidR="006B6210" w:rsidRPr="00C34647">
        <w:rPr>
          <w:rFonts w:cstheme="minorHAnsi"/>
          <w:lang w:val="en-GB"/>
        </w:rPr>
        <w:t xml:space="preserve">.  </w:t>
      </w:r>
      <w:r w:rsidR="00542B39" w:rsidRPr="00C34647">
        <w:rPr>
          <w:rFonts w:cstheme="minorHAnsi"/>
          <w:lang w:val="en-GB"/>
        </w:rPr>
        <w:t xml:space="preserve">This includes through defining key roles for workplace mentors and training providers (TVETP) to ensure the delivery of both theoretical and practical training in the development of technical, soft and ethical skills and competencies. </w:t>
      </w:r>
      <w:r w:rsidR="009A188E" w:rsidRPr="00C34647">
        <w:rPr>
          <w:rFonts w:cstheme="minorHAnsi"/>
          <w:lang w:val="en-GB"/>
        </w:rPr>
        <w:t xml:space="preserve">Private sector engagement </w:t>
      </w:r>
      <w:r w:rsidR="00CC6B77">
        <w:rPr>
          <w:rFonts w:cstheme="minorHAnsi"/>
          <w:lang w:val="en-GB"/>
        </w:rPr>
        <w:t>in the initiative has</w:t>
      </w:r>
      <w:r w:rsidR="009A188E" w:rsidRPr="00C34647">
        <w:rPr>
          <w:rFonts w:cstheme="minorHAnsi"/>
          <w:lang w:val="en-GB"/>
        </w:rPr>
        <w:t xml:space="preserve"> also promoted through the use of pilots in the guidelines</w:t>
      </w:r>
      <w:r w:rsidR="00CC6B77">
        <w:rPr>
          <w:rFonts w:cstheme="minorHAnsi"/>
          <w:lang w:val="en-GB"/>
        </w:rPr>
        <w:t>’</w:t>
      </w:r>
      <w:r w:rsidR="009A188E" w:rsidRPr="00C34647">
        <w:rPr>
          <w:rFonts w:cstheme="minorHAnsi"/>
          <w:lang w:val="en-GB"/>
        </w:rPr>
        <w:t xml:space="preserve"> development to ensure that ‘</w:t>
      </w:r>
      <w:r w:rsidR="009A188E" w:rsidRPr="00C34647">
        <w:rPr>
          <w:rFonts w:cstheme="minorHAnsi"/>
          <w:i/>
          <w:iCs/>
          <w:lang w:val="en-GB"/>
        </w:rPr>
        <w:t>m</w:t>
      </w:r>
      <w:r w:rsidR="009C09E1" w:rsidRPr="009C09E1">
        <w:rPr>
          <w:rFonts w:eastAsia="Times New Roman" w:cstheme="minorHAnsi"/>
          <w:i/>
          <w:iCs/>
          <w:lang w:val="en-GB" w:eastAsia="en-GB"/>
        </w:rPr>
        <w:t xml:space="preserve">eaningful social dialogue was undertaken to establish sustainable relationships with employers and to obtain clear market relevance on implementing formal </w:t>
      </w:r>
      <w:r w:rsidR="009C09E1" w:rsidRPr="009C09E1">
        <w:rPr>
          <w:rFonts w:eastAsia="Times New Roman" w:cstheme="minorHAnsi"/>
          <w:i/>
          <w:iCs/>
          <w:lang w:val="en-GB" w:eastAsia="en-GB"/>
        </w:rPr>
        <w:lastRenderedPageBreak/>
        <w:t>apprenticeship</w:t>
      </w:r>
      <w:r w:rsidR="009A188E" w:rsidRPr="00C34647">
        <w:rPr>
          <w:rFonts w:eastAsia="Times New Roman" w:cstheme="minorHAnsi"/>
          <w:i/>
          <w:iCs/>
          <w:lang w:val="en-GB" w:eastAsia="en-GB"/>
        </w:rPr>
        <w:t>’</w:t>
      </w:r>
      <w:r w:rsidR="009C09E1" w:rsidRPr="009C09E1">
        <w:rPr>
          <w:rFonts w:eastAsia="Times New Roman" w:cstheme="minorHAnsi"/>
          <w:lang w:val="en-GB" w:eastAsia="en-GB"/>
        </w:rPr>
        <w:t xml:space="preserve">. </w:t>
      </w:r>
      <w:r w:rsidR="009A188E" w:rsidRPr="00C34647">
        <w:rPr>
          <w:rFonts w:eastAsia="Times New Roman" w:cstheme="minorHAnsi"/>
          <w:lang w:val="en-GB" w:eastAsia="en-GB"/>
        </w:rPr>
        <w:t xml:space="preserve">The </w:t>
      </w:r>
      <w:r w:rsidR="00CC6B77">
        <w:rPr>
          <w:rFonts w:eastAsia="Times New Roman" w:cstheme="minorHAnsi"/>
          <w:lang w:val="en-GB" w:eastAsia="en-GB"/>
        </w:rPr>
        <w:t xml:space="preserve">conducted </w:t>
      </w:r>
      <w:r w:rsidR="009A188E" w:rsidRPr="00C34647">
        <w:rPr>
          <w:rFonts w:eastAsia="Times New Roman" w:cstheme="minorHAnsi"/>
          <w:lang w:val="en-GB" w:eastAsia="en-GB"/>
        </w:rPr>
        <w:t xml:space="preserve">pilots also tested the capacity of TVETPs to respond to labour market demand, and the effective allocation of financial incentives to promote employer engagement. </w:t>
      </w:r>
    </w:p>
    <w:p w14:paraId="6933444C" w14:textId="7EE71E95" w:rsidR="009E19CA" w:rsidRPr="00B2488D" w:rsidRDefault="00CC6B77" w:rsidP="00FF73D6">
      <w:pPr>
        <w:rPr>
          <w:b/>
          <w:bCs/>
          <w:sz w:val="24"/>
          <w:szCs w:val="24"/>
          <w:lang w:val="en-GB"/>
        </w:rPr>
      </w:pPr>
      <w:r>
        <w:rPr>
          <w:b/>
          <w:bCs/>
          <w:sz w:val="24"/>
          <w:szCs w:val="24"/>
          <w:lang w:val="en-GB"/>
        </w:rPr>
        <w:t>Procedures and guidelines for the implementation of</w:t>
      </w:r>
      <w:r w:rsidR="00B6458E" w:rsidRPr="00B2488D">
        <w:rPr>
          <w:b/>
          <w:bCs/>
          <w:sz w:val="24"/>
          <w:szCs w:val="24"/>
          <w:lang w:val="en-GB"/>
        </w:rPr>
        <w:t xml:space="preserve"> </w:t>
      </w:r>
      <w:r w:rsidR="00A31CAA" w:rsidRPr="00B2488D">
        <w:rPr>
          <w:b/>
          <w:bCs/>
          <w:sz w:val="24"/>
          <w:szCs w:val="24"/>
          <w:lang w:val="en-GB"/>
        </w:rPr>
        <w:t>Work Integrated Learning</w:t>
      </w:r>
      <w:r>
        <w:rPr>
          <w:b/>
          <w:bCs/>
          <w:sz w:val="24"/>
          <w:szCs w:val="24"/>
          <w:lang w:val="en-GB"/>
        </w:rPr>
        <w:t xml:space="preserve"> (WIL)</w:t>
      </w:r>
    </w:p>
    <w:p w14:paraId="22D53AA2" w14:textId="038D425B" w:rsidR="00A31CAA" w:rsidRPr="00727DEE" w:rsidRDefault="00A31CAA" w:rsidP="00727DEE">
      <w:pPr>
        <w:spacing w:after="120" w:line="276" w:lineRule="auto"/>
        <w:rPr>
          <w:rFonts w:cstheme="minorHAnsi"/>
          <w:lang w:val="en-GB"/>
        </w:rPr>
      </w:pPr>
      <w:r w:rsidRPr="00727DEE">
        <w:rPr>
          <w:rFonts w:cstheme="minorHAnsi"/>
          <w:lang w:val="en-GB"/>
        </w:rPr>
        <w:t xml:space="preserve">The </w:t>
      </w:r>
      <w:r w:rsidR="005D6774">
        <w:rPr>
          <w:rFonts w:cstheme="minorHAnsi"/>
          <w:lang w:val="en-GB"/>
        </w:rPr>
        <w:t>initiative</w:t>
      </w:r>
      <w:r w:rsidR="005D6774" w:rsidRPr="00727DEE">
        <w:rPr>
          <w:rFonts w:cstheme="minorHAnsi"/>
          <w:lang w:val="en-GB"/>
        </w:rPr>
        <w:t xml:space="preserve"> </w:t>
      </w:r>
      <w:r w:rsidRPr="00727DEE">
        <w:rPr>
          <w:rFonts w:cstheme="minorHAnsi"/>
          <w:lang w:val="en-GB"/>
        </w:rPr>
        <w:t xml:space="preserve">looks to </w:t>
      </w:r>
      <w:r w:rsidR="009A188E" w:rsidRPr="00727DEE">
        <w:rPr>
          <w:rFonts w:cstheme="minorHAnsi"/>
          <w:lang w:val="en-GB"/>
        </w:rPr>
        <w:t>realise</w:t>
      </w:r>
      <w:r w:rsidRPr="00727DEE">
        <w:rPr>
          <w:rFonts w:cstheme="minorHAnsi"/>
          <w:lang w:val="en-GB"/>
        </w:rPr>
        <w:t xml:space="preserve"> the defined objectives through a series of guidelines</w:t>
      </w:r>
      <w:r w:rsidR="00CC6B77">
        <w:rPr>
          <w:rFonts w:cstheme="minorHAnsi"/>
          <w:lang w:val="en-GB"/>
        </w:rPr>
        <w:t xml:space="preserve">. This includes </w:t>
      </w:r>
      <w:r w:rsidR="009A188E" w:rsidRPr="00727DEE">
        <w:rPr>
          <w:rFonts w:cstheme="minorHAnsi"/>
          <w:lang w:val="en-GB"/>
        </w:rPr>
        <w:t xml:space="preserve">defining apprenticeships through a </w:t>
      </w:r>
      <w:r w:rsidR="0025341E" w:rsidRPr="00727DEE">
        <w:rPr>
          <w:rFonts w:cstheme="minorHAnsi"/>
          <w:lang w:val="en-GB"/>
        </w:rPr>
        <w:t>framework of requirements</w:t>
      </w:r>
      <w:r w:rsidR="009A188E" w:rsidRPr="00727DEE">
        <w:rPr>
          <w:rFonts w:cstheme="minorHAnsi"/>
          <w:lang w:val="en-GB"/>
        </w:rPr>
        <w:t>:</w:t>
      </w:r>
    </w:p>
    <w:p w14:paraId="66CFC9C8" w14:textId="44371C5F" w:rsidR="009A188E" w:rsidRPr="00727DEE" w:rsidRDefault="00151461" w:rsidP="00727DEE">
      <w:pPr>
        <w:pStyle w:val="ListParagraph"/>
        <w:numPr>
          <w:ilvl w:val="0"/>
          <w:numId w:val="9"/>
        </w:numPr>
        <w:spacing w:after="120" w:line="276" w:lineRule="auto"/>
        <w:rPr>
          <w:rFonts w:cstheme="minorHAnsi"/>
          <w:lang w:val="en-GB"/>
        </w:rPr>
      </w:pPr>
      <w:r w:rsidRPr="00727DEE">
        <w:rPr>
          <w:rFonts w:cstheme="minorHAnsi"/>
          <w:lang w:val="en-GB"/>
        </w:rPr>
        <w:t>An apprentice is an employee in training – making the integral link between employment and training</w:t>
      </w:r>
    </w:p>
    <w:p w14:paraId="382B3274" w14:textId="3FABCD22" w:rsidR="00151461" w:rsidRPr="00727DEE" w:rsidRDefault="00151461" w:rsidP="00727DEE">
      <w:pPr>
        <w:pStyle w:val="ListParagraph"/>
        <w:numPr>
          <w:ilvl w:val="0"/>
          <w:numId w:val="9"/>
        </w:numPr>
        <w:spacing w:after="120" w:line="276" w:lineRule="auto"/>
        <w:rPr>
          <w:rFonts w:cstheme="minorHAnsi"/>
          <w:lang w:val="en-GB"/>
        </w:rPr>
      </w:pPr>
      <w:r w:rsidRPr="00727DEE">
        <w:rPr>
          <w:rFonts w:cstheme="minorHAnsi"/>
          <w:lang w:val="en-GB"/>
        </w:rPr>
        <w:t>Employers must register with NTA to join the apprenticeship scheme – providing an opportunity to regulate the participating employers</w:t>
      </w:r>
    </w:p>
    <w:p w14:paraId="3CE96160" w14:textId="41BB7AE2" w:rsidR="00151461" w:rsidRPr="00727DEE" w:rsidRDefault="00151461" w:rsidP="00727DEE">
      <w:pPr>
        <w:pStyle w:val="ListParagraph"/>
        <w:numPr>
          <w:ilvl w:val="0"/>
          <w:numId w:val="9"/>
        </w:numPr>
        <w:spacing w:after="120" w:line="276" w:lineRule="auto"/>
        <w:rPr>
          <w:rFonts w:cstheme="minorHAnsi"/>
          <w:lang w:val="en-GB"/>
        </w:rPr>
      </w:pPr>
      <w:r w:rsidRPr="00727DEE">
        <w:rPr>
          <w:rFonts w:cstheme="minorHAnsi"/>
          <w:lang w:val="en-GB"/>
        </w:rPr>
        <w:t>There needs to be a formal agreement between the apprentice and employer</w:t>
      </w:r>
      <w:r w:rsidR="00011458" w:rsidRPr="00727DEE">
        <w:rPr>
          <w:rFonts w:cstheme="minorHAnsi"/>
          <w:lang w:val="en-GB"/>
        </w:rPr>
        <w:t>. This must include a training implementation plan specifying qualification training arrangements</w:t>
      </w:r>
      <w:r w:rsidRPr="00727DEE">
        <w:rPr>
          <w:rFonts w:cstheme="minorHAnsi"/>
          <w:lang w:val="en-GB"/>
        </w:rPr>
        <w:t xml:space="preserve"> – </w:t>
      </w:r>
      <w:r w:rsidR="00CC6B77">
        <w:rPr>
          <w:rFonts w:cstheme="minorHAnsi"/>
          <w:lang w:val="en-GB"/>
        </w:rPr>
        <w:t xml:space="preserve">defining roles, responsibilities </w:t>
      </w:r>
      <w:r w:rsidRPr="00727DEE">
        <w:rPr>
          <w:rFonts w:cstheme="minorHAnsi"/>
          <w:lang w:val="en-GB"/>
        </w:rPr>
        <w:t xml:space="preserve">and expectations </w:t>
      </w:r>
    </w:p>
    <w:p w14:paraId="00353645" w14:textId="77777777" w:rsidR="00335C6E" w:rsidRPr="00727DEE" w:rsidRDefault="00151461" w:rsidP="00727DEE">
      <w:pPr>
        <w:pStyle w:val="ListParagraph"/>
        <w:numPr>
          <w:ilvl w:val="0"/>
          <w:numId w:val="9"/>
        </w:numPr>
        <w:spacing w:after="120" w:line="276" w:lineRule="auto"/>
        <w:rPr>
          <w:rFonts w:cstheme="minorHAnsi"/>
          <w:lang w:val="en-GB"/>
        </w:rPr>
      </w:pPr>
      <w:r w:rsidRPr="00727DEE">
        <w:rPr>
          <w:rFonts w:cstheme="minorHAnsi"/>
          <w:lang w:val="en-GB"/>
        </w:rPr>
        <w:t xml:space="preserve">Apprentices will receive a minimum </w:t>
      </w:r>
      <w:r w:rsidR="009A188E" w:rsidRPr="00727DEE">
        <w:rPr>
          <w:rFonts w:eastAsia="Times New Roman" w:cstheme="minorHAnsi"/>
          <w:lang w:val="en-GB" w:eastAsia="en-GB"/>
        </w:rPr>
        <w:t xml:space="preserve">remuneration </w:t>
      </w:r>
      <w:r w:rsidR="00335C6E" w:rsidRPr="00727DEE">
        <w:rPr>
          <w:rFonts w:eastAsia="Times New Roman" w:cstheme="minorHAnsi"/>
          <w:lang w:val="en-GB" w:eastAsia="en-GB"/>
        </w:rPr>
        <w:t xml:space="preserve">based on an NTA approved apprenticeship grant </w:t>
      </w:r>
      <w:r w:rsidR="009A188E" w:rsidRPr="00727DEE">
        <w:rPr>
          <w:rFonts w:eastAsia="Times New Roman" w:cstheme="minorHAnsi"/>
          <w:lang w:val="en-GB" w:eastAsia="en-GB"/>
        </w:rPr>
        <w:t xml:space="preserve"> </w:t>
      </w:r>
    </w:p>
    <w:p w14:paraId="35F78053" w14:textId="1C2D9D94" w:rsidR="00011458" w:rsidRPr="00727DEE" w:rsidRDefault="009A188E" w:rsidP="00727DEE">
      <w:pPr>
        <w:pStyle w:val="ListParagraph"/>
        <w:numPr>
          <w:ilvl w:val="0"/>
          <w:numId w:val="9"/>
        </w:numPr>
        <w:spacing w:after="120" w:line="276" w:lineRule="auto"/>
        <w:rPr>
          <w:rFonts w:cstheme="minorHAnsi"/>
          <w:lang w:val="en-GB"/>
        </w:rPr>
      </w:pPr>
      <w:r w:rsidRPr="00727DEE">
        <w:rPr>
          <w:rFonts w:eastAsia="Times New Roman" w:cstheme="minorHAnsi"/>
          <w:lang w:val="en-GB" w:eastAsia="en-GB"/>
        </w:rPr>
        <w:t>Apprenticeships must be based on a qualification registered on the NQF</w:t>
      </w:r>
      <w:r w:rsidR="00011458" w:rsidRPr="00727DEE">
        <w:rPr>
          <w:rFonts w:eastAsia="Times New Roman" w:cstheme="minorHAnsi"/>
          <w:lang w:val="en-GB" w:eastAsia="en-GB"/>
        </w:rPr>
        <w:t xml:space="preserve"> and </w:t>
      </w:r>
      <w:r w:rsidR="00B8569D" w:rsidRPr="00727DEE">
        <w:rPr>
          <w:rFonts w:eastAsia="Times New Roman" w:cstheme="minorHAnsi"/>
          <w:lang w:val="en-GB" w:eastAsia="en-GB"/>
        </w:rPr>
        <w:t>apprentices/trainees must be issued a national vocational certificate on successfully completing their WIL course</w:t>
      </w:r>
      <w:r w:rsidR="00011458" w:rsidRPr="00727DEE">
        <w:rPr>
          <w:rFonts w:eastAsia="Times New Roman" w:cstheme="minorHAnsi"/>
          <w:lang w:val="en-GB" w:eastAsia="en-GB"/>
        </w:rPr>
        <w:t xml:space="preserve"> – supporting enhanced links between TVET and wider education sector and promoting pathways for learners</w:t>
      </w:r>
    </w:p>
    <w:p w14:paraId="6AF06742" w14:textId="4F9AE311" w:rsidR="00011458" w:rsidRPr="00727DEE" w:rsidRDefault="009A188E" w:rsidP="00727DEE">
      <w:pPr>
        <w:pStyle w:val="ListParagraph"/>
        <w:numPr>
          <w:ilvl w:val="0"/>
          <w:numId w:val="9"/>
        </w:numPr>
        <w:spacing w:after="120" w:line="276" w:lineRule="auto"/>
        <w:rPr>
          <w:rFonts w:cstheme="minorHAnsi"/>
          <w:lang w:val="en-GB"/>
        </w:rPr>
      </w:pPr>
      <w:r w:rsidRPr="00727DEE">
        <w:rPr>
          <w:rFonts w:eastAsia="Times New Roman" w:cstheme="minorHAnsi"/>
          <w:lang w:val="en-GB" w:eastAsia="en-GB"/>
        </w:rPr>
        <w:t>Theoretical training must be conducted by a registered and/or accredited TVETP</w:t>
      </w:r>
      <w:r w:rsidR="00011458" w:rsidRPr="00727DEE">
        <w:rPr>
          <w:rFonts w:eastAsia="Times New Roman" w:cstheme="minorHAnsi"/>
          <w:lang w:val="en-GB" w:eastAsia="en-GB"/>
        </w:rPr>
        <w:t xml:space="preserve"> – quality assuring the theoretical part of WIL courses</w:t>
      </w:r>
    </w:p>
    <w:p w14:paraId="738BEB20" w14:textId="6C6F34FF" w:rsidR="00011458" w:rsidRPr="00727DEE" w:rsidRDefault="009A188E" w:rsidP="00727DEE">
      <w:pPr>
        <w:pStyle w:val="ListParagraph"/>
        <w:numPr>
          <w:ilvl w:val="0"/>
          <w:numId w:val="9"/>
        </w:numPr>
        <w:spacing w:after="120" w:line="276" w:lineRule="auto"/>
        <w:rPr>
          <w:rFonts w:cstheme="minorHAnsi"/>
          <w:lang w:val="en-GB"/>
        </w:rPr>
      </w:pPr>
      <w:r w:rsidRPr="00727DEE">
        <w:rPr>
          <w:rFonts w:eastAsia="Times New Roman" w:cstheme="minorHAnsi"/>
          <w:lang w:val="en-GB" w:eastAsia="en-GB"/>
        </w:rPr>
        <w:t>Assessments must be conducted by registered and/or accredited TVETPs, assessment centres or approved workplaces</w:t>
      </w:r>
      <w:r w:rsidR="00011458" w:rsidRPr="00727DEE">
        <w:rPr>
          <w:rFonts w:eastAsia="Times New Roman" w:cstheme="minorHAnsi"/>
          <w:lang w:val="en-GB" w:eastAsia="en-GB"/>
        </w:rPr>
        <w:t xml:space="preserve"> – ensuring the validity of apprenticeship qualifications </w:t>
      </w:r>
    </w:p>
    <w:p w14:paraId="0E104C1B" w14:textId="5418E63B" w:rsidR="009A188E" w:rsidRPr="00727DEE" w:rsidRDefault="0025341E" w:rsidP="00727DEE">
      <w:pPr>
        <w:spacing w:after="120"/>
        <w:ind w:left="360"/>
        <w:rPr>
          <w:rFonts w:eastAsia="Times New Roman" w:cstheme="minorHAnsi"/>
          <w:lang w:val="en-GB" w:eastAsia="en-GB"/>
        </w:rPr>
      </w:pPr>
      <w:r w:rsidRPr="00727DEE">
        <w:rPr>
          <w:rFonts w:eastAsia="Times New Roman" w:cstheme="minorHAnsi"/>
          <w:lang w:val="en-GB" w:eastAsia="en-GB"/>
        </w:rPr>
        <w:t xml:space="preserve">The guidelines further operationalise these requirements by defining roles and responsibilities for WIL stakeholders. </w:t>
      </w:r>
      <w:r w:rsidR="00CD524A" w:rsidRPr="00727DEE">
        <w:rPr>
          <w:rFonts w:eastAsia="Times New Roman" w:cstheme="minorHAnsi"/>
          <w:lang w:val="en-GB" w:eastAsia="en-GB"/>
        </w:rPr>
        <w:t>In the case of employers, this includes</w:t>
      </w:r>
      <w:r w:rsidRPr="00727DEE">
        <w:rPr>
          <w:rFonts w:eastAsia="Times New Roman" w:cstheme="minorHAnsi"/>
          <w:lang w:val="en-GB" w:eastAsia="en-GB"/>
        </w:rPr>
        <w:t xml:space="preserve"> reference to </w:t>
      </w:r>
      <w:r w:rsidR="00CD524A" w:rsidRPr="00727DEE">
        <w:rPr>
          <w:rFonts w:eastAsia="Times New Roman" w:cstheme="minorHAnsi"/>
          <w:lang w:val="en-GB" w:eastAsia="en-GB"/>
        </w:rPr>
        <w:t>being sufficiently equipped and resourced for apprenticeship training, development of staffing plans to include apprentices in future HR planning, collaboration with NTA to ensure familiarisation with national qualification requirements and engagement with TVETPs to agree training contents and costs.</w:t>
      </w:r>
      <w:r w:rsidR="00CD524A" w:rsidRPr="00727DEE">
        <w:rPr>
          <w:rStyle w:val="FootnoteReference"/>
          <w:rFonts w:eastAsia="Times New Roman" w:cstheme="minorHAnsi"/>
          <w:lang w:val="en-GB" w:eastAsia="en-GB"/>
        </w:rPr>
        <w:footnoteReference w:id="18"/>
      </w:r>
      <w:r w:rsidR="00765C8C">
        <w:rPr>
          <w:rFonts w:eastAsia="Times New Roman" w:cstheme="minorHAnsi"/>
          <w:lang w:val="en-GB" w:eastAsia="en-GB"/>
        </w:rPr>
        <w:t xml:space="preserve"> The focus on NQF L4 is also designed to address the current gap in TVET qualifications at this level. </w:t>
      </w:r>
    </w:p>
    <w:p w14:paraId="45220C0F" w14:textId="4C2AF982" w:rsidR="00FE3FEF" w:rsidRDefault="00CD524A" w:rsidP="00727DEE">
      <w:pPr>
        <w:spacing w:after="120"/>
        <w:ind w:left="360"/>
        <w:rPr>
          <w:rFonts w:eastAsia="Times New Roman" w:cstheme="minorHAnsi"/>
          <w:lang w:val="en-GB" w:eastAsia="en-GB"/>
        </w:rPr>
      </w:pPr>
      <w:r w:rsidRPr="00727DEE">
        <w:rPr>
          <w:rFonts w:eastAsia="Times New Roman" w:cstheme="minorHAnsi"/>
          <w:lang w:val="en-GB" w:eastAsia="en-GB"/>
        </w:rPr>
        <w:t xml:space="preserve">The guidelines also provide </w:t>
      </w:r>
      <w:r w:rsidR="00507537" w:rsidRPr="00727DEE">
        <w:rPr>
          <w:rFonts w:eastAsia="Times New Roman" w:cstheme="minorHAnsi"/>
          <w:lang w:val="en-GB" w:eastAsia="en-GB"/>
        </w:rPr>
        <w:t xml:space="preserve">advice on </w:t>
      </w:r>
      <w:r w:rsidRPr="00727DEE">
        <w:rPr>
          <w:rFonts w:eastAsia="Times New Roman" w:cstheme="minorHAnsi"/>
          <w:lang w:val="en-GB" w:eastAsia="en-GB"/>
        </w:rPr>
        <w:t>WIL</w:t>
      </w:r>
      <w:r w:rsidR="00765C8C">
        <w:rPr>
          <w:rFonts w:eastAsia="Times New Roman" w:cstheme="minorHAnsi"/>
          <w:lang w:val="en-GB" w:eastAsia="en-GB"/>
        </w:rPr>
        <w:t xml:space="preserve"> procedural</w:t>
      </w:r>
      <w:r w:rsidRPr="00727DEE">
        <w:rPr>
          <w:rFonts w:eastAsia="Times New Roman" w:cstheme="minorHAnsi"/>
          <w:lang w:val="en-GB" w:eastAsia="en-GB"/>
        </w:rPr>
        <w:t xml:space="preserve"> req</w:t>
      </w:r>
      <w:r w:rsidR="00507537" w:rsidRPr="00727DEE">
        <w:rPr>
          <w:rFonts w:eastAsia="Times New Roman" w:cstheme="minorHAnsi"/>
          <w:lang w:val="en-GB" w:eastAsia="en-GB"/>
        </w:rPr>
        <w:t>uirements. These include</w:t>
      </w:r>
      <w:r w:rsidR="00765C8C">
        <w:rPr>
          <w:rFonts w:eastAsia="Times New Roman" w:cstheme="minorHAnsi"/>
          <w:lang w:val="en-GB" w:eastAsia="en-GB"/>
        </w:rPr>
        <w:t>s reference to</w:t>
      </w:r>
      <w:r w:rsidR="00507537" w:rsidRPr="00727DEE">
        <w:rPr>
          <w:rFonts w:eastAsia="Times New Roman" w:cstheme="minorHAnsi"/>
          <w:lang w:val="en-GB" w:eastAsia="en-GB"/>
        </w:rPr>
        <w:t xml:space="preserve"> participating employers submitting mandatory </w:t>
      </w:r>
      <w:r w:rsidR="00942979" w:rsidRPr="00727DEE">
        <w:rPr>
          <w:rFonts w:eastAsia="Times New Roman" w:cstheme="minorHAnsi"/>
          <w:lang w:val="en-GB" w:eastAsia="en-GB"/>
        </w:rPr>
        <w:t>documents; application</w:t>
      </w:r>
      <w:r w:rsidR="00507537" w:rsidRPr="00727DEE">
        <w:rPr>
          <w:rFonts w:eastAsia="Times New Roman" w:cstheme="minorHAnsi"/>
          <w:lang w:val="en-GB" w:eastAsia="en-GB"/>
        </w:rPr>
        <w:t xml:space="preserve"> form, registration certificates, mentors’ experience and qualifications, health and safety and social security certification, evidence of VET levy payment (if applicable) and confirmation from partner TVETP. </w:t>
      </w:r>
    </w:p>
    <w:p w14:paraId="2AE2FF3C" w14:textId="50EBC3C8" w:rsidR="00FE3FEF" w:rsidRDefault="00FE3FEF" w:rsidP="00727DEE">
      <w:pPr>
        <w:spacing w:after="120"/>
        <w:ind w:left="360"/>
        <w:rPr>
          <w:rFonts w:eastAsia="Times New Roman" w:cstheme="minorHAnsi"/>
          <w:lang w:val="en-GB" w:eastAsia="en-GB"/>
        </w:rPr>
      </w:pPr>
      <w:r>
        <w:rPr>
          <w:rFonts w:eastAsia="Times New Roman" w:cstheme="minorHAnsi"/>
          <w:noProof/>
          <w:lang w:val="en-US"/>
        </w:rPr>
        <w:lastRenderedPageBreak/>
        <w:drawing>
          <wp:anchor distT="0" distB="0" distL="114300" distR="114300" simplePos="0" relativeHeight="251658240" behindDoc="0" locked="0" layoutInCell="1" allowOverlap="1" wp14:anchorId="3AD37CC8" wp14:editId="6409C597">
            <wp:simplePos x="0" y="0"/>
            <wp:positionH relativeFrom="column">
              <wp:posOffset>226060</wp:posOffset>
            </wp:positionH>
            <wp:positionV relativeFrom="paragraph">
              <wp:posOffset>304</wp:posOffset>
            </wp:positionV>
            <wp:extent cx="5504400" cy="38196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4400" cy="3819600"/>
                    </a:xfrm>
                    <a:prstGeom prst="rect">
                      <a:avLst/>
                    </a:prstGeom>
                    <a:noFill/>
                  </pic:spPr>
                </pic:pic>
              </a:graphicData>
            </a:graphic>
            <wp14:sizeRelH relativeFrom="margin">
              <wp14:pctWidth>0</wp14:pctWidth>
            </wp14:sizeRelH>
            <wp14:sizeRelV relativeFrom="margin">
              <wp14:pctHeight>0</wp14:pctHeight>
            </wp14:sizeRelV>
          </wp:anchor>
        </w:drawing>
      </w:r>
    </w:p>
    <w:p w14:paraId="0074F4AD" w14:textId="526B72FB" w:rsidR="00942979" w:rsidRDefault="00942979" w:rsidP="00FE3FEF">
      <w:pPr>
        <w:pStyle w:val="ListParagraph"/>
        <w:numPr>
          <w:ilvl w:val="0"/>
          <w:numId w:val="9"/>
        </w:numPr>
        <w:spacing w:before="240" w:after="120"/>
        <w:ind w:left="714" w:hanging="357"/>
        <w:rPr>
          <w:rFonts w:eastAsia="Times New Roman" w:cstheme="minorHAnsi"/>
          <w:lang w:val="en-GB" w:eastAsia="en-GB"/>
        </w:rPr>
      </w:pPr>
      <w:r>
        <w:rPr>
          <w:rFonts w:eastAsia="Times New Roman" w:cstheme="minorHAnsi"/>
          <w:lang w:val="en-GB" w:eastAsia="en-GB"/>
        </w:rPr>
        <w:t>NTA w</w:t>
      </w:r>
      <w:r w:rsidR="00CD62C7">
        <w:rPr>
          <w:rFonts w:eastAsia="Times New Roman" w:cstheme="minorHAnsi"/>
          <w:lang w:val="en-GB" w:eastAsia="en-GB"/>
        </w:rPr>
        <w:t xml:space="preserve">orkplace </w:t>
      </w:r>
      <w:r>
        <w:rPr>
          <w:rFonts w:eastAsia="Times New Roman" w:cstheme="minorHAnsi"/>
          <w:lang w:val="en-GB" w:eastAsia="en-GB"/>
        </w:rPr>
        <w:t>approval process which needs to be completed before apprentices are appointed and requires evidence of:</w:t>
      </w:r>
    </w:p>
    <w:p w14:paraId="7F26F71F" w14:textId="43D37727" w:rsidR="00942979" w:rsidRDefault="00942979" w:rsidP="00942979">
      <w:pPr>
        <w:pStyle w:val="ListParagraph"/>
        <w:numPr>
          <w:ilvl w:val="1"/>
          <w:numId w:val="9"/>
        </w:numPr>
        <w:spacing w:after="120"/>
        <w:rPr>
          <w:rFonts w:eastAsia="Times New Roman" w:cstheme="minorHAnsi"/>
          <w:lang w:val="en-GB" w:eastAsia="en-GB"/>
        </w:rPr>
      </w:pPr>
      <w:r>
        <w:rPr>
          <w:rFonts w:eastAsia="Times New Roman" w:cstheme="minorHAnsi"/>
          <w:lang w:val="en-GB" w:eastAsia="en-GB"/>
        </w:rPr>
        <w:t>Tools and equipment</w:t>
      </w:r>
    </w:p>
    <w:p w14:paraId="228EE3B8" w14:textId="6CFC0D27" w:rsidR="00942979" w:rsidRDefault="00942979" w:rsidP="00942979">
      <w:pPr>
        <w:pStyle w:val="ListParagraph"/>
        <w:numPr>
          <w:ilvl w:val="1"/>
          <w:numId w:val="9"/>
        </w:numPr>
        <w:spacing w:after="120"/>
        <w:rPr>
          <w:rFonts w:eastAsia="Times New Roman" w:cstheme="minorHAnsi"/>
          <w:lang w:val="en-GB" w:eastAsia="en-GB"/>
        </w:rPr>
      </w:pPr>
      <w:r>
        <w:rPr>
          <w:rFonts w:eastAsia="Times New Roman" w:cstheme="minorHAnsi"/>
          <w:lang w:val="en-GB" w:eastAsia="en-GB"/>
        </w:rPr>
        <w:t>Health and safety pro</w:t>
      </w:r>
      <w:r w:rsidR="00765C8C">
        <w:rPr>
          <w:rFonts w:eastAsia="Times New Roman" w:cstheme="minorHAnsi"/>
          <w:lang w:val="en-GB" w:eastAsia="en-GB"/>
        </w:rPr>
        <w:t>cedures</w:t>
      </w:r>
    </w:p>
    <w:p w14:paraId="44E0AFBA" w14:textId="1E322699" w:rsidR="00942979" w:rsidRDefault="00942979" w:rsidP="00942979">
      <w:pPr>
        <w:pStyle w:val="ListParagraph"/>
        <w:numPr>
          <w:ilvl w:val="1"/>
          <w:numId w:val="9"/>
        </w:numPr>
        <w:spacing w:after="120"/>
        <w:rPr>
          <w:rFonts w:eastAsia="Times New Roman" w:cstheme="minorHAnsi"/>
          <w:lang w:val="en-GB" w:eastAsia="en-GB"/>
        </w:rPr>
      </w:pPr>
      <w:r>
        <w:rPr>
          <w:rFonts w:eastAsia="Times New Roman" w:cstheme="minorHAnsi"/>
          <w:lang w:val="en-GB" w:eastAsia="en-GB"/>
        </w:rPr>
        <w:t>Qualified and experienced mentors</w:t>
      </w:r>
      <w:r w:rsidR="00CD7ACD">
        <w:rPr>
          <w:rFonts w:eastAsia="Times New Roman" w:cstheme="minorHAnsi"/>
          <w:lang w:val="en-GB" w:eastAsia="en-GB"/>
        </w:rPr>
        <w:t xml:space="preserve"> and appropriate mentor/apprenticeship ratios that ensure training safety and quality</w:t>
      </w:r>
      <w:r w:rsidR="00797AC2">
        <w:rPr>
          <w:rFonts w:eastAsia="Times New Roman" w:cstheme="minorHAnsi"/>
          <w:lang w:val="en-GB" w:eastAsia="en-GB"/>
        </w:rPr>
        <w:t>.  This includes through the use of an apprenticeship induction that covers (but not limited to):</w:t>
      </w:r>
    </w:p>
    <w:p w14:paraId="6E16AE2E" w14:textId="6ED149BE" w:rsidR="00797AC2" w:rsidRDefault="00797AC2" w:rsidP="00797AC2">
      <w:pPr>
        <w:pStyle w:val="ListParagraph"/>
        <w:numPr>
          <w:ilvl w:val="2"/>
          <w:numId w:val="9"/>
        </w:numPr>
        <w:spacing w:after="120"/>
        <w:rPr>
          <w:rFonts w:eastAsia="Times New Roman" w:cstheme="minorHAnsi"/>
          <w:lang w:val="en-GB" w:eastAsia="en-GB"/>
        </w:rPr>
      </w:pPr>
      <w:r>
        <w:rPr>
          <w:rFonts w:eastAsia="Times New Roman" w:cstheme="minorHAnsi"/>
          <w:lang w:val="en-GB" w:eastAsia="en-GB"/>
        </w:rPr>
        <w:t>Occupational health and safety</w:t>
      </w:r>
    </w:p>
    <w:p w14:paraId="6E06E3D9" w14:textId="095DF6A3" w:rsidR="00797AC2" w:rsidRDefault="00797AC2" w:rsidP="00797AC2">
      <w:pPr>
        <w:pStyle w:val="ListParagraph"/>
        <w:numPr>
          <w:ilvl w:val="2"/>
          <w:numId w:val="9"/>
        </w:numPr>
        <w:spacing w:after="120"/>
        <w:rPr>
          <w:rFonts w:eastAsia="Times New Roman" w:cstheme="minorHAnsi"/>
          <w:lang w:val="en-GB" w:eastAsia="en-GB"/>
        </w:rPr>
      </w:pPr>
      <w:r>
        <w:rPr>
          <w:rFonts w:eastAsia="Times New Roman" w:cstheme="minorHAnsi"/>
          <w:lang w:val="en-GB" w:eastAsia="en-GB"/>
        </w:rPr>
        <w:t>Environmental safety</w:t>
      </w:r>
    </w:p>
    <w:p w14:paraId="45E3EE70" w14:textId="04272773" w:rsidR="00797AC2" w:rsidRPr="00797AC2" w:rsidRDefault="00797AC2" w:rsidP="00797AC2">
      <w:pPr>
        <w:pStyle w:val="ListParagraph"/>
        <w:numPr>
          <w:ilvl w:val="2"/>
          <w:numId w:val="9"/>
        </w:numPr>
        <w:spacing w:after="120"/>
        <w:rPr>
          <w:rFonts w:eastAsia="Times New Roman" w:cstheme="minorHAnsi"/>
          <w:lang w:val="en-GB" w:eastAsia="en-GB"/>
        </w:rPr>
      </w:pPr>
      <w:r>
        <w:rPr>
          <w:rFonts w:eastAsia="Times New Roman" w:cstheme="minorHAnsi"/>
          <w:lang w:val="en-GB" w:eastAsia="en-GB"/>
        </w:rPr>
        <w:t xml:space="preserve">Welfare and industry requirements </w:t>
      </w:r>
    </w:p>
    <w:p w14:paraId="007FA5C2" w14:textId="0676EE90" w:rsidR="00942979" w:rsidRDefault="00942979" w:rsidP="00942979">
      <w:pPr>
        <w:pStyle w:val="ListParagraph"/>
        <w:numPr>
          <w:ilvl w:val="1"/>
          <w:numId w:val="9"/>
        </w:numPr>
        <w:spacing w:after="120"/>
        <w:rPr>
          <w:rFonts w:eastAsia="Times New Roman" w:cstheme="minorHAnsi"/>
          <w:lang w:val="en-GB" w:eastAsia="en-GB"/>
        </w:rPr>
      </w:pPr>
      <w:r>
        <w:rPr>
          <w:rFonts w:eastAsia="Times New Roman" w:cstheme="minorHAnsi"/>
          <w:lang w:val="en-GB" w:eastAsia="en-GB"/>
        </w:rPr>
        <w:t>Appropriate recording systems and communication facilities</w:t>
      </w:r>
    </w:p>
    <w:p w14:paraId="522094EF" w14:textId="4FF6E93D" w:rsidR="00942979" w:rsidRPr="00AE548A" w:rsidRDefault="00AE548A" w:rsidP="00AE548A">
      <w:pPr>
        <w:pStyle w:val="ListParagraph"/>
        <w:numPr>
          <w:ilvl w:val="1"/>
          <w:numId w:val="9"/>
        </w:numPr>
        <w:spacing w:after="120"/>
        <w:rPr>
          <w:rFonts w:eastAsia="Times New Roman" w:cstheme="minorHAnsi"/>
          <w:lang w:val="en-GB" w:eastAsia="en-GB"/>
        </w:rPr>
      </w:pPr>
      <w:r>
        <w:rPr>
          <w:rFonts w:eastAsia="Times New Roman" w:cstheme="minorHAnsi"/>
          <w:lang w:val="en-GB" w:eastAsia="en-GB"/>
        </w:rPr>
        <w:t xml:space="preserve">Limits on appointed apprentices based on company size </w:t>
      </w:r>
    </w:p>
    <w:p w14:paraId="1616E4D9" w14:textId="7B6FE01B" w:rsidR="00942979" w:rsidRDefault="00AE548A" w:rsidP="00CD62C7">
      <w:pPr>
        <w:pStyle w:val="ListParagraph"/>
        <w:numPr>
          <w:ilvl w:val="0"/>
          <w:numId w:val="9"/>
        </w:numPr>
        <w:spacing w:after="120"/>
        <w:rPr>
          <w:rFonts w:eastAsia="Times New Roman" w:cstheme="minorHAnsi"/>
          <w:lang w:val="en-GB" w:eastAsia="en-GB"/>
        </w:rPr>
      </w:pPr>
      <w:r>
        <w:rPr>
          <w:rFonts w:eastAsia="Times New Roman" w:cstheme="minorHAnsi"/>
          <w:lang w:val="en-GB" w:eastAsia="en-GB"/>
        </w:rPr>
        <w:t>NTA approval details which define key aspects of the approved apprenticeship (WIL):</w:t>
      </w:r>
    </w:p>
    <w:p w14:paraId="09F7899E" w14:textId="025B8271" w:rsidR="00AE548A" w:rsidRDefault="00AE548A" w:rsidP="00AE548A">
      <w:pPr>
        <w:pStyle w:val="ListParagraph"/>
        <w:numPr>
          <w:ilvl w:val="1"/>
          <w:numId w:val="9"/>
        </w:numPr>
        <w:spacing w:after="120"/>
        <w:rPr>
          <w:rFonts w:eastAsia="Times New Roman" w:cstheme="minorHAnsi"/>
          <w:lang w:val="en-GB" w:eastAsia="en-GB"/>
        </w:rPr>
      </w:pPr>
      <w:r>
        <w:rPr>
          <w:rFonts w:eastAsia="Times New Roman" w:cstheme="minorHAnsi"/>
          <w:lang w:val="en-GB" w:eastAsia="en-GB"/>
        </w:rPr>
        <w:t>Approved qualifications and level</w:t>
      </w:r>
    </w:p>
    <w:p w14:paraId="0BA7D3D7" w14:textId="7DE023DB" w:rsidR="00AE548A" w:rsidRDefault="00AE548A" w:rsidP="00AE548A">
      <w:pPr>
        <w:pStyle w:val="ListParagraph"/>
        <w:numPr>
          <w:ilvl w:val="1"/>
          <w:numId w:val="9"/>
        </w:numPr>
        <w:spacing w:after="120"/>
        <w:rPr>
          <w:rFonts w:eastAsia="Times New Roman" w:cstheme="minorHAnsi"/>
          <w:lang w:val="en-GB" w:eastAsia="en-GB"/>
        </w:rPr>
      </w:pPr>
      <w:r>
        <w:rPr>
          <w:rFonts w:eastAsia="Times New Roman" w:cstheme="minorHAnsi"/>
          <w:lang w:val="en-GB" w:eastAsia="en-GB"/>
        </w:rPr>
        <w:t>Maximum number of apprentices and any conditions</w:t>
      </w:r>
    </w:p>
    <w:p w14:paraId="1ACC7907" w14:textId="4EDCDC87" w:rsidR="00AE548A" w:rsidRDefault="00AE548A" w:rsidP="00AE548A">
      <w:pPr>
        <w:pStyle w:val="ListParagraph"/>
        <w:numPr>
          <w:ilvl w:val="1"/>
          <w:numId w:val="9"/>
        </w:numPr>
        <w:spacing w:after="120"/>
        <w:rPr>
          <w:rFonts w:eastAsia="Times New Roman" w:cstheme="minorHAnsi"/>
          <w:lang w:val="en-GB" w:eastAsia="en-GB"/>
        </w:rPr>
      </w:pPr>
      <w:r>
        <w:rPr>
          <w:rFonts w:eastAsia="Times New Roman" w:cstheme="minorHAnsi"/>
          <w:lang w:val="en-GB" w:eastAsia="en-GB"/>
        </w:rPr>
        <w:t xml:space="preserve">Feedback for employers who have not been approved </w:t>
      </w:r>
    </w:p>
    <w:p w14:paraId="0A0517D0" w14:textId="64C4313D" w:rsidR="00AE548A" w:rsidRDefault="00AE548A" w:rsidP="00AE548A">
      <w:pPr>
        <w:pStyle w:val="ListParagraph"/>
        <w:numPr>
          <w:ilvl w:val="0"/>
          <w:numId w:val="9"/>
        </w:numPr>
        <w:spacing w:after="120"/>
        <w:rPr>
          <w:rFonts w:eastAsia="Times New Roman" w:cstheme="minorHAnsi"/>
          <w:lang w:val="en-GB" w:eastAsia="en-GB"/>
        </w:rPr>
      </w:pPr>
      <w:r>
        <w:rPr>
          <w:rFonts w:eastAsia="Times New Roman" w:cstheme="minorHAnsi"/>
          <w:lang w:val="en-GB" w:eastAsia="en-GB"/>
        </w:rPr>
        <w:t xml:space="preserve">Details </w:t>
      </w:r>
      <w:r w:rsidR="002275DE">
        <w:rPr>
          <w:rFonts w:eastAsia="Times New Roman" w:cstheme="minorHAnsi"/>
          <w:lang w:val="en-GB" w:eastAsia="en-GB"/>
        </w:rPr>
        <w:t>of apprenticeship agreement</w:t>
      </w:r>
      <w:r w:rsidR="00765C8C">
        <w:rPr>
          <w:rFonts w:eastAsia="Times New Roman" w:cstheme="minorHAnsi"/>
          <w:lang w:val="en-GB" w:eastAsia="en-GB"/>
        </w:rPr>
        <w:t>s</w:t>
      </w:r>
      <w:r w:rsidR="002275DE">
        <w:rPr>
          <w:rFonts w:eastAsia="Times New Roman" w:cstheme="minorHAnsi"/>
          <w:lang w:val="en-GB" w:eastAsia="en-GB"/>
        </w:rPr>
        <w:t>:</w:t>
      </w:r>
    </w:p>
    <w:p w14:paraId="34277122" w14:textId="3F6A227D" w:rsidR="002275DE" w:rsidRDefault="002275DE" w:rsidP="002275DE">
      <w:pPr>
        <w:pStyle w:val="ListParagraph"/>
        <w:numPr>
          <w:ilvl w:val="1"/>
          <w:numId w:val="9"/>
        </w:numPr>
        <w:spacing w:after="120"/>
        <w:rPr>
          <w:rFonts w:eastAsia="Times New Roman" w:cstheme="minorHAnsi"/>
          <w:lang w:val="en-GB" w:eastAsia="en-GB"/>
        </w:rPr>
      </w:pPr>
      <w:r>
        <w:rPr>
          <w:rFonts w:eastAsia="Times New Roman" w:cstheme="minorHAnsi"/>
          <w:lang w:val="en-GB" w:eastAsia="en-GB"/>
        </w:rPr>
        <w:t>Roles, responsibilities, conditions and obligations and associated corrective measures</w:t>
      </w:r>
    </w:p>
    <w:p w14:paraId="13EEBCB9" w14:textId="792C1904" w:rsidR="002275DE" w:rsidRDefault="002275DE" w:rsidP="002275DE">
      <w:pPr>
        <w:pStyle w:val="ListParagraph"/>
        <w:numPr>
          <w:ilvl w:val="1"/>
          <w:numId w:val="9"/>
        </w:numPr>
        <w:spacing w:after="120"/>
        <w:rPr>
          <w:rFonts w:eastAsia="Times New Roman" w:cstheme="minorHAnsi"/>
          <w:lang w:val="en-GB" w:eastAsia="en-GB"/>
        </w:rPr>
      </w:pPr>
      <w:r>
        <w:rPr>
          <w:rFonts w:eastAsia="Times New Roman" w:cstheme="minorHAnsi"/>
          <w:lang w:val="en-GB" w:eastAsia="en-GB"/>
        </w:rPr>
        <w:t>Duration and training implementation plan (including milestones and partner TVETP’s training schedule)</w:t>
      </w:r>
      <w:r w:rsidR="00203730">
        <w:rPr>
          <w:rFonts w:eastAsia="Times New Roman" w:cstheme="minorHAnsi"/>
          <w:lang w:val="en-GB" w:eastAsia="en-GB"/>
        </w:rPr>
        <w:t>. Apprenticeship duration guidelines include:</w:t>
      </w:r>
    </w:p>
    <w:p w14:paraId="15648E3C" w14:textId="662B2807" w:rsidR="00203730" w:rsidRDefault="00203730" w:rsidP="00203730">
      <w:pPr>
        <w:pStyle w:val="ListParagraph"/>
        <w:numPr>
          <w:ilvl w:val="2"/>
          <w:numId w:val="9"/>
        </w:numPr>
        <w:spacing w:after="120"/>
        <w:rPr>
          <w:rFonts w:eastAsia="Times New Roman" w:cstheme="minorHAnsi"/>
          <w:lang w:val="en-GB" w:eastAsia="en-GB"/>
        </w:rPr>
      </w:pPr>
      <w:r>
        <w:rPr>
          <w:rFonts w:eastAsia="Times New Roman" w:cstheme="minorHAnsi"/>
          <w:lang w:val="en-GB" w:eastAsia="en-GB"/>
        </w:rPr>
        <w:t>Duration to be determined by qualification requirements</w:t>
      </w:r>
    </w:p>
    <w:p w14:paraId="20AB76B4" w14:textId="1D7F5152" w:rsidR="00203730" w:rsidRDefault="00203730" w:rsidP="00203730">
      <w:pPr>
        <w:pStyle w:val="ListParagraph"/>
        <w:numPr>
          <w:ilvl w:val="2"/>
          <w:numId w:val="9"/>
        </w:numPr>
        <w:spacing w:after="120"/>
        <w:rPr>
          <w:rFonts w:eastAsia="Times New Roman" w:cstheme="minorHAnsi"/>
          <w:lang w:val="en-GB" w:eastAsia="en-GB"/>
        </w:rPr>
      </w:pPr>
      <w:r>
        <w:rPr>
          <w:rFonts w:eastAsia="Times New Roman" w:cstheme="minorHAnsi"/>
          <w:lang w:val="en-GB" w:eastAsia="en-GB"/>
        </w:rPr>
        <w:t>Minimum duration of three years for an NQF L4 qualification</w:t>
      </w:r>
    </w:p>
    <w:p w14:paraId="038FA649" w14:textId="621F1DD5" w:rsidR="00203730" w:rsidRPr="00203730" w:rsidRDefault="00203730" w:rsidP="00203730">
      <w:pPr>
        <w:pStyle w:val="ListParagraph"/>
        <w:numPr>
          <w:ilvl w:val="2"/>
          <w:numId w:val="9"/>
        </w:numPr>
        <w:spacing w:after="120"/>
        <w:rPr>
          <w:rFonts w:eastAsia="Times New Roman" w:cstheme="minorHAnsi"/>
          <w:lang w:val="en-GB" w:eastAsia="en-GB"/>
        </w:rPr>
      </w:pPr>
      <w:r>
        <w:rPr>
          <w:rFonts w:eastAsia="Times New Roman" w:cstheme="minorHAnsi"/>
          <w:lang w:val="en-GB" w:eastAsia="en-GB"/>
        </w:rPr>
        <w:t xml:space="preserve">Employer and TVETP need to agree on duration of practical/theoretical input for each qualification based on a 70:30 ratio </w:t>
      </w:r>
    </w:p>
    <w:p w14:paraId="09C9230B" w14:textId="2F587F19" w:rsidR="002275DE" w:rsidRDefault="002275DE" w:rsidP="002275DE">
      <w:pPr>
        <w:pStyle w:val="ListParagraph"/>
        <w:numPr>
          <w:ilvl w:val="1"/>
          <w:numId w:val="9"/>
        </w:numPr>
        <w:spacing w:after="120"/>
        <w:rPr>
          <w:rFonts w:eastAsia="Times New Roman" w:cstheme="minorHAnsi"/>
          <w:lang w:val="en-GB" w:eastAsia="en-GB"/>
        </w:rPr>
      </w:pPr>
      <w:r>
        <w:rPr>
          <w:rFonts w:eastAsia="Times New Roman" w:cstheme="minorHAnsi"/>
          <w:lang w:val="en-GB" w:eastAsia="en-GB"/>
        </w:rPr>
        <w:lastRenderedPageBreak/>
        <w:t>Information of the</w:t>
      </w:r>
      <w:r w:rsidR="00765C8C">
        <w:rPr>
          <w:rFonts w:eastAsia="Times New Roman" w:cstheme="minorHAnsi"/>
          <w:lang w:val="en-GB" w:eastAsia="en-GB"/>
        </w:rPr>
        <w:t xml:space="preserve"> agreed apprentices’</w:t>
      </w:r>
      <w:r>
        <w:rPr>
          <w:rFonts w:eastAsia="Times New Roman" w:cstheme="minorHAnsi"/>
          <w:lang w:val="en-GB" w:eastAsia="en-GB"/>
        </w:rPr>
        <w:t xml:space="preserve"> training grant and qualifications </w:t>
      </w:r>
      <w:r w:rsidR="00765C8C">
        <w:rPr>
          <w:rFonts w:eastAsia="Times New Roman" w:cstheme="minorHAnsi"/>
          <w:lang w:val="en-GB" w:eastAsia="en-GB"/>
        </w:rPr>
        <w:t>being trained towards</w:t>
      </w:r>
    </w:p>
    <w:p w14:paraId="0398E09C" w14:textId="75672F16" w:rsidR="009610EA" w:rsidRDefault="009610EA" w:rsidP="009610EA">
      <w:pPr>
        <w:pStyle w:val="ListParagraph"/>
        <w:numPr>
          <w:ilvl w:val="0"/>
          <w:numId w:val="9"/>
        </w:numPr>
        <w:spacing w:after="120"/>
        <w:rPr>
          <w:rFonts w:eastAsia="Times New Roman" w:cstheme="minorHAnsi"/>
          <w:lang w:val="en-GB" w:eastAsia="en-GB"/>
        </w:rPr>
      </w:pPr>
      <w:r>
        <w:rPr>
          <w:rFonts w:eastAsia="Times New Roman" w:cstheme="minorHAnsi"/>
          <w:lang w:val="en-GB" w:eastAsia="en-GB"/>
        </w:rPr>
        <w:t>Entry requirements:</w:t>
      </w:r>
    </w:p>
    <w:p w14:paraId="12864A84" w14:textId="60D0B17F" w:rsidR="009610EA" w:rsidRDefault="009610EA" w:rsidP="009610EA">
      <w:pPr>
        <w:pStyle w:val="ListParagraph"/>
        <w:numPr>
          <w:ilvl w:val="1"/>
          <w:numId w:val="9"/>
        </w:numPr>
        <w:spacing w:after="120"/>
        <w:rPr>
          <w:rFonts w:eastAsia="Times New Roman" w:cstheme="minorHAnsi"/>
          <w:lang w:val="en-GB" w:eastAsia="en-GB"/>
        </w:rPr>
      </w:pPr>
      <w:r>
        <w:rPr>
          <w:rFonts w:eastAsia="Times New Roman" w:cstheme="minorHAnsi"/>
          <w:lang w:val="en-GB" w:eastAsia="en-GB"/>
        </w:rPr>
        <w:t>Namibian citizenship and aged 16-35</w:t>
      </w:r>
    </w:p>
    <w:p w14:paraId="4136386B" w14:textId="2415ABCD" w:rsidR="009610EA" w:rsidRDefault="009610EA" w:rsidP="009610EA">
      <w:pPr>
        <w:pStyle w:val="ListParagraph"/>
        <w:numPr>
          <w:ilvl w:val="1"/>
          <w:numId w:val="9"/>
        </w:numPr>
        <w:spacing w:after="120"/>
        <w:rPr>
          <w:rFonts w:eastAsia="Times New Roman" w:cstheme="minorHAnsi"/>
          <w:lang w:val="en-GB" w:eastAsia="en-GB"/>
        </w:rPr>
      </w:pPr>
      <w:r>
        <w:rPr>
          <w:rFonts w:eastAsia="Times New Roman" w:cstheme="minorHAnsi"/>
          <w:lang w:val="en-GB" w:eastAsia="en-GB"/>
        </w:rPr>
        <w:t>Certified physically fit to perform work required in apprenticeship role</w:t>
      </w:r>
    </w:p>
    <w:p w14:paraId="6E6C8A1F" w14:textId="16B86B4E" w:rsidR="009610EA" w:rsidRDefault="009610EA" w:rsidP="009610EA">
      <w:pPr>
        <w:pStyle w:val="ListParagraph"/>
        <w:numPr>
          <w:ilvl w:val="1"/>
          <w:numId w:val="9"/>
        </w:numPr>
        <w:spacing w:after="120"/>
        <w:rPr>
          <w:rFonts w:eastAsia="Times New Roman" w:cstheme="minorHAnsi"/>
          <w:lang w:val="en-GB" w:eastAsia="en-GB"/>
        </w:rPr>
      </w:pPr>
      <w:r>
        <w:rPr>
          <w:rFonts w:eastAsia="Times New Roman" w:cstheme="minorHAnsi"/>
          <w:lang w:val="en-GB" w:eastAsia="en-GB"/>
        </w:rPr>
        <w:t>Meets employer, qualification and TVETP entry requirements and isn’t duplicating a previous apprenticeship and/or qualification or NTA funding</w:t>
      </w:r>
    </w:p>
    <w:p w14:paraId="4FAEC43C" w14:textId="6AC7F5CF" w:rsidR="009610EA" w:rsidRDefault="009610EA" w:rsidP="009610EA">
      <w:pPr>
        <w:pStyle w:val="ListParagraph"/>
        <w:numPr>
          <w:ilvl w:val="1"/>
          <w:numId w:val="9"/>
        </w:numPr>
        <w:spacing w:after="120"/>
        <w:rPr>
          <w:rFonts w:eastAsia="Times New Roman" w:cstheme="minorHAnsi"/>
          <w:lang w:val="en-GB" w:eastAsia="en-GB"/>
        </w:rPr>
      </w:pPr>
      <w:r>
        <w:rPr>
          <w:rFonts w:eastAsia="Times New Roman" w:cstheme="minorHAnsi"/>
          <w:lang w:val="en-GB" w:eastAsia="en-GB"/>
        </w:rPr>
        <w:t xml:space="preserve">Reference to potential dispensation on requirements for learners from marginalised groups to increase WIL inclusivity </w:t>
      </w:r>
    </w:p>
    <w:p w14:paraId="142E080E" w14:textId="520199DF" w:rsidR="00FD2486" w:rsidRPr="00D0444E" w:rsidRDefault="00FD2486" w:rsidP="00D0444E">
      <w:pPr>
        <w:pStyle w:val="ListParagraph"/>
        <w:numPr>
          <w:ilvl w:val="0"/>
          <w:numId w:val="9"/>
        </w:numPr>
        <w:spacing w:after="120" w:line="276" w:lineRule="auto"/>
        <w:rPr>
          <w:rFonts w:eastAsia="Times New Roman" w:cstheme="minorHAnsi"/>
          <w:lang w:val="en-GB" w:eastAsia="en-GB"/>
        </w:rPr>
      </w:pPr>
      <w:r w:rsidRPr="00D0444E">
        <w:rPr>
          <w:rFonts w:eastAsia="Times New Roman" w:cstheme="minorHAnsi"/>
          <w:lang w:val="en-GB" w:eastAsia="en-GB"/>
        </w:rPr>
        <w:t>NTA monitoring and support role:</w:t>
      </w:r>
    </w:p>
    <w:p w14:paraId="7148C255" w14:textId="5CBB800C" w:rsidR="009E0B86" w:rsidRPr="00D0444E" w:rsidRDefault="009E0B86" w:rsidP="00D0444E">
      <w:pPr>
        <w:pStyle w:val="ListParagraph"/>
        <w:numPr>
          <w:ilvl w:val="1"/>
          <w:numId w:val="9"/>
        </w:numPr>
        <w:spacing w:after="120" w:line="276" w:lineRule="auto"/>
        <w:rPr>
          <w:rFonts w:eastAsia="Times New Roman" w:cstheme="minorHAnsi"/>
          <w:lang w:val="en-GB" w:eastAsia="en-GB"/>
        </w:rPr>
      </w:pPr>
      <w:r w:rsidRPr="00D0444E">
        <w:rPr>
          <w:rFonts w:eastAsia="Times New Roman" w:cstheme="minorHAnsi"/>
          <w:lang w:val="en-GB" w:eastAsia="en-GB"/>
        </w:rPr>
        <w:t xml:space="preserve">NTA conduct a minimum of two monitoring visits to employers during their first year of training. Visits include meetings with </w:t>
      </w:r>
      <w:r w:rsidR="00FD2486" w:rsidRPr="00D0444E">
        <w:rPr>
          <w:rFonts w:eastAsia="Times New Roman" w:cstheme="minorHAnsi"/>
          <w:lang w:val="en-GB" w:eastAsia="en-GB"/>
        </w:rPr>
        <w:t>training coordinator</w:t>
      </w:r>
      <w:r w:rsidRPr="00D0444E">
        <w:rPr>
          <w:rFonts w:eastAsia="Times New Roman" w:cstheme="minorHAnsi"/>
          <w:lang w:val="en-GB" w:eastAsia="en-GB"/>
        </w:rPr>
        <w:t>s</w:t>
      </w:r>
      <w:r w:rsidR="00FD2486" w:rsidRPr="00D0444E">
        <w:rPr>
          <w:rFonts w:eastAsia="Times New Roman" w:cstheme="minorHAnsi"/>
          <w:lang w:val="en-GB" w:eastAsia="en-GB"/>
        </w:rPr>
        <w:t xml:space="preserve">, supervisors, </w:t>
      </w:r>
      <w:r w:rsidRPr="00D0444E">
        <w:rPr>
          <w:rFonts w:eastAsia="Times New Roman" w:cstheme="minorHAnsi"/>
          <w:lang w:val="en-GB" w:eastAsia="en-GB"/>
        </w:rPr>
        <w:t>a</w:t>
      </w:r>
      <w:r w:rsidR="00FD2486" w:rsidRPr="00D0444E">
        <w:rPr>
          <w:rFonts w:eastAsia="Times New Roman" w:cstheme="minorHAnsi"/>
          <w:lang w:val="en-GB" w:eastAsia="en-GB"/>
        </w:rPr>
        <w:t xml:space="preserve">pprentices and their Mentors to ascertain areas of support where required. </w:t>
      </w:r>
    </w:p>
    <w:p w14:paraId="7C7227B4" w14:textId="01139856" w:rsidR="009E0B86" w:rsidRPr="00D0444E" w:rsidRDefault="009E0B86" w:rsidP="00D0444E">
      <w:pPr>
        <w:pStyle w:val="ListParagraph"/>
        <w:numPr>
          <w:ilvl w:val="1"/>
          <w:numId w:val="9"/>
        </w:numPr>
        <w:spacing w:after="120" w:line="276" w:lineRule="auto"/>
        <w:rPr>
          <w:rFonts w:eastAsia="Times New Roman" w:cstheme="minorHAnsi"/>
          <w:lang w:val="en-GB" w:eastAsia="en-GB"/>
        </w:rPr>
      </w:pPr>
      <w:r w:rsidRPr="00D0444E">
        <w:rPr>
          <w:rFonts w:eastAsia="Times New Roman" w:cstheme="minorHAnsi"/>
          <w:lang w:val="en-GB" w:eastAsia="en-GB"/>
        </w:rPr>
        <w:t>The f</w:t>
      </w:r>
      <w:r w:rsidR="00FD2486" w:rsidRPr="00D0444E">
        <w:rPr>
          <w:rFonts w:eastAsia="Times New Roman" w:cstheme="minorHAnsi"/>
          <w:lang w:val="en-GB" w:eastAsia="en-GB"/>
        </w:rPr>
        <w:t xml:space="preserve">irst </w:t>
      </w:r>
      <w:r w:rsidRPr="00D0444E">
        <w:rPr>
          <w:rFonts w:eastAsia="Times New Roman" w:cstheme="minorHAnsi"/>
          <w:lang w:val="en-GB" w:eastAsia="en-GB"/>
        </w:rPr>
        <w:t>v</w:t>
      </w:r>
      <w:r w:rsidR="00FD2486" w:rsidRPr="00D0444E">
        <w:rPr>
          <w:rFonts w:eastAsia="Times New Roman" w:cstheme="minorHAnsi"/>
          <w:lang w:val="en-GB" w:eastAsia="en-GB"/>
        </w:rPr>
        <w:t>isit</w:t>
      </w:r>
      <w:r w:rsidRPr="00D0444E">
        <w:rPr>
          <w:rFonts w:eastAsia="Times New Roman" w:cstheme="minorHAnsi"/>
          <w:lang w:val="en-GB" w:eastAsia="en-GB"/>
        </w:rPr>
        <w:t xml:space="preserve"> is described as</w:t>
      </w:r>
      <w:r w:rsidR="00FD2486" w:rsidRPr="00D0444E">
        <w:rPr>
          <w:rFonts w:eastAsia="Times New Roman" w:cstheme="minorHAnsi"/>
          <w:lang w:val="en-GB" w:eastAsia="en-GB"/>
        </w:rPr>
        <w:t xml:space="preserve"> </w:t>
      </w:r>
      <w:r w:rsidRPr="00D0444E">
        <w:rPr>
          <w:rFonts w:eastAsia="Times New Roman" w:cstheme="minorHAnsi"/>
          <w:lang w:val="en-GB" w:eastAsia="en-GB"/>
        </w:rPr>
        <w:t>‘</w:t>
      </w:r>
      <w:r w:rsidR="00FD2486" w:rsidRPr="00D0444E">
        <w:rPr>
          <w:rFonts w:eastAsia="Times New Roman" w:cstheme="minorHAnsi"/>
          <w:lang w:val="en-GB" w:eastAsia="en-GB"/>
        </w:rPr>
        <w:t>Advisory and Support</w:t>
      </w:r>
      <w:r w:rsidRPr="00D0444E">
        <w:rPr>
          <w:rFonts w:eastAsia="Times New Roman" w:cstheme="minorHAnsi"/>
          <w:lang w:val="en-GB" w:eastAsia="en-GB"/>
        </w:rPr>
        <w:t xml:space="preserve">’, in which the </w:t>
      </w:r>
      <w:r w:rsidR="00FD2486" w:rsidRPr="00D0444E">
        <w:rPr>
          <w:rFonts w:eastAsia="Times New Roman" w:cstheme="minorHAnsi"/>
          <w:lang w:val="en-GB" w:eastAsia="en-GB"/>
        </w:rPr>
        <w:t>NTA provide</w:t>
      </w:r>
      <w:r w:rsidRPr="00D0444E">
        <w:rPr>
          <w:rFonts w:eastAsia="Times New Roman" w:cstheme="minorHAnsi"/>
          <w:lang w:val="en-GB" w:eastAsia="en-GB"/>
        </w:rPr>
        <w:t>s</w:t>
      </w:r>
      <w:r w:rsidR="00FD2486" w:rsidRPr="00D0444E">
        <w:rPr>
          <w:rFonts w:eastAsia="Times New Roman" w:cstheme="minorHAnsi"/>
          <w:lang w:val="en-GB" w:eastAsia="en-GB"/>
        </w:rPr>
        <w:t xml:space="preserve"> </w:t>
      </w:r>
      <w:r w:rsidRPr="00D0444E">
        <w:rPr>
          <w:rFonts w:eastAsia="Times New Roman" w:cstheme="minorHAnsi"/>
          <w:lang w:val="en-GB" w:eastAsia="en-GB"/>
        </w:rPr>
        <w:t xml:space="preserve">advice on; </w:t>
      </w:r>
      <w:r w:rsidR="00FD2486" w:rsidRPr="00D0444E">
        <w:rPr>
          <w:rFonts w:eastAsia="Times New Roman" w:cstheme="minorHAnsi"/>
          <w:lang w:val="en-GB" w:eastAsia="en-GB"/>
        </w:rPr>
        <w:t xml:space="preserve">workplace learning and logbook </w:t>
      </w:r>
      <w:r w:rsidRPr="00D0444E">
        <w:rPr>
          <w:rFonts w:eastAsia="Times New Roman" w:cstheme="minorHAnsi"/>
          <w:lang w:val="en-GB" w:eastAsia="en-GB"/>
        </w:rPr>
        <w:t>usage, apprentices</w:t>
      </w:r>
      <w:r w:rsidR="00D0444E" w:rsidRPr="00D0444E">
        <w:rPr>
          <w:rFonts w:eastAsia="Times New Roman" w:cstheme="minorHAnsi"/>
          <w:lang w:val="en-GB" w:eastAsia="en-GB"/>
        </w:rPr>
        <w:t>’</w:t>
      </w:r>
      <w:r w:rsidRPr="00D0444E">
        <w:rPr>
          <w:rFonts w:eastAsia="Times New Roman" w:cstheme="minorHAnsi"/>
          <w:lang w:val="en-GB" w:eastAsia="en-GB"/>
        </w:rPr>
        <w:t xml:space="preserve"> and </w:t>
      </w:r>
      <w:r w:rsidR="00D0444E" w:rsidRPr="00D0444E">
        <w:rPr>
          <w:rFonts w:eastAsia="Times New Roman" w:cstheme="minorHAnsi"/>
          <w:lang w:val="en-GB" w:eastAsia="en-GB"/>
        </w:rPr>
        <w:t>mentors’</w:t>
      </w:r>
      <w:r w:rsidRPr="00D0444E">
        <w:rPr>
          <w:rFonts w:eastAsia="Times New Roman" w:cstheme="minorHAnsi"/>
          <w:lang w:val="en-GB" w:eastAsia="en-GB"/>
        </w:rPr>
        <w:t xml:space="preserve"> performance, and associated recommendations. </w:t>
      </w:r>
    </w:p>
    <w:p w14:paraId="4651EEE2" w14:textId="77777777" w:rsidR="00D0444E" w:rsidRPr="00D0444E" w:rsidRDefault="009E0B86" w:rsidP="00D0444E">
      <w:pPr>
        <w:pStyle w:val="ListParagraph"/>
        <w:numPr>
          <w:ilvl w:val="1"/>
          <w:numId w:val="9"/>
        </w:numPr>
        <w:spacing w:after="120" w:line="276" w:lineRule="auto"/>
        <w:rPr>
          <w:rFonts w:eastAsia="Times New Roman" w:cstheme="minorHAnsi"/>
          <w:lang w:val="en-GB" w:eastAsia="en-GB"/>
        </w:rPr>
      </w:pPr>
      <w:r w:rsidRPr="00D0444E">
        <w:rPr>
          <w:rFonts w:eastAsia="Times New Roman" w:cstheme="minorHAnsi"/>
          <w:lang w:val="en-GB" w:eastAsia="en-GB"/>
        </w:rPr>
        <w:t>The s</w:t>
      </w:r>
      <w:r w:rsidR="00FD2486" w:rsidRPr="00D0444E">
        <w:rPr>
          <w:rFonts w:eastAsia="Times New Roman" w:cstheme="minorHAnsi"/>
          <w:lang w:val="en-GB" w:eastAsia="en-GB"/>
        </w:rPr>
        <w:t xml:space="preserve">econd </w:t>
      </w:r>
      <w:r w:rsidRPr="00D0444E">
        <w:rPr>
          <w:rFonts w:eastAsia="Times New Roman" w:cstheme="minorHAnsi"/>
          <w:lang w:val="en-GB" w:eastAsia="en-GB"/>
        </w:rPr>
        <w:t>v</w:t>
      </w:r>
      <w:r w:rsidR="00FD2486" w:rsidRPr="00D0444E">
        <w:rPr>
          <w:rFonts w:eastAsia="Times New Roman" w:cstheme="minorHAnsi"/>
          <w:lang w:val="en-GB" w:eastAsia="en-GB"/>
        </w:rPr>
        <w:t>isit</w:t>
      </w:r>
      <w:r w:rsidRPr="00D0444E">
        <w:rPr>
          <w:rFonts w:eastAsia="Times New Roman" w:cstheme="minorHAnsi"/>
          <w:lang w:val="en-GB" w:eastAsia="en-GB"/>
        </w:rPr>
        <w:t xml:space="preserve"> is described as ‘C</w:t>
      </w:r>
      <w:r w:rsidR="00FD2486" w:rsidRPr="00D0444E">
        <w:rPr>
          <w:rFonts w:eastAsia="Times New Roman" w:cstheme="minorHAnsi"/>
          <w:lang w:val="en-GB" w:eastAsia="en-GB"/>
        </w:rPr>
        <w:t>ompliance</w:t>
      </w:r>
      <w:r w:rsidRPr="00D0444E">
        <w:rPr>
          <w:rFonts w:eastAsia="Times New Roman" w:cstheme="minorHAnsi"/>
          <w:lang w:val="en-GB" w:eastAsia="en-GB"/>
        </w:rPr>
        <w:t xml:space="preserve">’, in which </w:t>
      </w:r>
      <w:r w:rsidR="00FD2486" w:rsidRPr="00D0444E">
        <w:rPr>
          <w:rFonts w:eastAsia="Times New Roman" w:cstheme="minorHAnsi"/>
          <w:lang w:val="en-GB" w:eastAsia="en-GB"/>
        </w:rPr>
        <w:t xml:space="preserve">NTA </w:t>
      </w:r>
      <w:r w:rsidRPr="00D0444E">
        <w:rPr>
          <w:rFonts w:eastAsia="Times New Roman" w:cstheme="minorHAnsi"/>
          <w:lang w:val="en-GB" w:eastAsia="en-GB"/>
        </w:rPr>
        <w:t xml:space="preserve">checks WIL </w:t>
      </w:r>
      <w:r w:rsidR="00FD2486" w:rsidRPr="00D0444E">
        <w:rPr>
          <w:rFonts w:eastAsia="Times New Roman" w:cstheme="minorHAnsi"/>
          <w:lang w:val="en-GB" w:eastAsia="en-GB"/>
        </w:rPr>
        <w:t>progress</w:t>
      </w:r>
      <w:r w:rsidRPr="00D0444E">
        <w:rPr>
          <w:rFonts w:eastAsia="Times New Roman" w:cstheme="minorHAnsi"/>
          <w:lang w:val="en-GB" w:eastAsia="en-GB"/>
        </w:rPr>
        <w:t xml:space="preserve">, reviews the implementation of initial recommendations. </w:t>
      </w:r>
    </w:p>
    <w:p w14:paraId="54BD94E6" w14:textId="7A71A104" w:rsidR="00FD2486" w:rsidRDefault="009E0B86" w:rsidP="00D0444E">
      <w:pPr>
        <w:pStyle w:val="ListParagraph"/>
        <w:numPr>
          <w:ilvl w:val="1"/>
          <w:numId w:val="9"/>
        </w:numPr>
        <w:spacing w:after="120" w:line="276" w:lineRule="auto"/>
        <w:rPr>
          <w:rFonts w:eastAsia="Times New Roman" w:cstheme="minorHAnsi"/>
          <w:lang w:val="en-GB" w:eastAsia="en-GB"/>
        </w:rPr>
      </w:pPr>
      <w:r w:rsidRPr="00D0444E">
        <w:rPr>
          <w:rFonts w:eastAsia="Times New Roman" w:cstheme="minorHAnsi"/>
          <w:lang w:val="en-GB" w:eastAsia="en-GB"/>
        </w:rPr>
        <w:t>NTA visits are also linked to</w:t>
      </w:r>
      <w:r w:rsidR="00D0444E" w:rsidRPr="00D0444E">
        <w:rPr>
          <w:rFonts w:eastAsia="Times New Roman" w:cstheme="minorHAnsi"/>
          <w:lang w:val="en-GB" w:eastAsia="en-GB"/>
        </w:rPr>
        <w:t xml:space="preserve"> releasing </w:t>
      </w:r>
      <w:r w:rsidRPr="00D0444E">
        <w:rPr>
          <w:rFonts w:eastAsia="Times New Roman" w:cstheme="minorHAnsi"/>
          <w:lang w:val="en-GB" w:eastAsia="en-GB"/>
        </w:rPr>
        <w:t>of apprenticeship funding</w:t>
      </w:r>
      <w:r w:rsidR="00D0444E" w:rsidRPr="00D0444E">
        <w:rPr>
          <w:rFonts w:eastAsia="Times New Roman" w:cstheme="minorHAnsi"/>
          <w:lang w:val="en-GB" w:eastAsia="en-GB"/>
        </w:rPr>
        <w:t xml:space="preserve"> payments. </w:t>
      </w:r>
      <w:r w:rsidRPr="00D0444E">
        <w:rPr>
          <w:rFonts w:eastAsia="Times New Roman" w:cstheme="minorHAnsi"/>
          <w:lang w:val="en-GB" w:eastAsia="en-GB"/>
        </w:rPr>
        <w:t xml:space="preserve"> </w:t>
      </w:r>
    </w:p>
    <w:p w14:paraId="743AFE60" w14:textId="3163D645" w:rsidR="00372112" w:rsidRDefault="00372112" w:rsidP="00372112">
      <w:pPr>
        <w:pStyle w:val="ListParagraph"/>
        <w:numPr>
          <w:ilvl w:val="0"/>
          <w:numId w:val="9"/>
        </w:numPr>
        <w:spacing w:after="120" w:line="276" w:lineRule="auto"/>
        <w:rPr>
          <w:rFonts w:eastAsia="Times New Roman" w:cstheme="minorHAnsi"/>
          <w:lang w:val="en-GB" w:eastAsia="en-GB"/>
        </w:rPr>
      </w:pPr>
      <w:r>
        <w:rPr>
          <w:rFonts w:eastAsia="Times New Roman" w:cstheme="minorHAnsi"/>
          <w:lang w:val="en-GB" w:eastAsia="en-GB"/>
        </w:rPr>
        <w:t>Mentors:</w:t>
      </w:r>
    </w:p>
    <w:p w14:paraId="5E1FF366" w14:textId="7CDE5C9B" w:rsidR="003F3688" w:rsidRDefault="003F3688" w:rsidP="003F3688">
      <w:pPr>
        <w:pStyle w:val="ListParagraph"/>
        <w:numPr>
          <w:ilvl w:val="1"/>
          <w:numId w:val="9"/>
        </w:numPr>
        <w:spacing w:after="120" w:line="276" w:lineRule="auto"/>
        <w:rPr>
          <w:rFonts w:eastAsia="Times New Roman" w:cstheme="minorHAnsi"/>
          <w:lang w:val="en-GB" w:eastAsia="en-GB"/>
        </w:rPr>
      </w:pPr>
      <w:r>
        <w:rPr>
          <w:rFonts w:eastAsia="Times New Roman" w:cstheme="minorHAnsi"/>
          <w:lang w:val="en-GB" w:eastAsia="en-GB"/>
        </w:rPr>
        <w:t>Appointed apprenticeship mentors and trainers should attend NTA induction workshops</w:t>
      </w:r>
    </w:p>
    <w:p w14:paraId="09C4B557" w14:textId="77777777" w:rsidR="003F3688" w:rsidRDefault="003F3688" w:rsidP="003F3688">
      <w:pPr>
        <w:pStyle w:val="ListParagraph"/>
        <w:numPr>
          <w:ilvl w:val="1"/>
          <w:numId w:val="9"/>
        </w:numPr>
        <w:spacing w:after="120" w:line="276" w:lineRule="auto"/>
        <w:rPr>
          <w:rFonts w:eastAsia="Times New Roman" w:cstheme="minorHAnsi"/>
          <w:lang w:val="en-GB" w:eastAsia="en-GB"/>
        </w:rPr>
      </w:pPr>
      <w:r>
        <w:rPr>
          <w:rFonts w:eastAsia="Times New Roman" w:cstheme="minorHAnsi"/>
          <w:lang w:val="en-GB" w:eastAsia="en-GB"/>
        </w:rPr>
        <w:t xml:space="preserve">Mentors should possess a minimum of a L4 qualification and have three years relevant experience. </w:t>
      </w:r>
    </w:p>
    <w:p w14:paraId="79939161" w14:textId="2F200086" w:rsidR="003F3688" w:rsidRDefault="003F3688" w:rsidP="003F3688">
      <w:pPr>
        <w:pStyle w:val="ListParagraph"/>
        <w:numPr>
          <w:ilvl w:val="1"/>
          <w:numId w:val="9"/>
        </w:numPr>
        <w:spacing w:after="120" w:line="276" w:lineRule="auto"/>
        <w:rPr>
          <w:rFonts w:eastAsia="Times New Roman" w:cstheme="minorHAnsi"/>
          <w:lang w:val="en-GB" w:eastAsia="en-GB"/>
        </w:rPr>
      </w:pPr>
      <w:r>
        <w:rPr>
          <w:rFonts w:eastAsia="Times New Roman" w:cstheme="minorHAnsi"/>
          <w:lang w:val="en-GB" w:eastAsia="en-GB"/>
        </w:rPr>
        <w:t>Mentors’ responsibilities in WIL include;</w:t>
      </w:r>
    </w:p>
    <w:p w14:paraId="79C0DD35" w14:textId="0A87D3C8" w:rsidR="003F3688" w:rsidRDefault="003F3688" w:rsidP="003F3688">
      <w:pPr>
        <w:pStyle w:val="ListParagraph"/>
        <w:numPr>
          <w:ilvl w:val="2"/>
          <w:numId w:val="9"/>
        </w:numPr>
        <w:spacing w:after="120" w:line="276" w:lineRule="auto"/>
        <w:rPr>
          <w:rFonts w:eastAsia="Times New Roman" w:cstheme="minorHAnsi"/>
          <w:lang w:val="en-GB" w:eastAsia="en-GB"/>
        </w:rPr>
      </w:pPr>
      <w:r>
        <w:rPr>
          <w:rFonts w:eastAsia="Times New Roman" w:cstheme="minorHAnsi"/>
          <w:lang w:val="en-GB" w:eastAsia="en-GB"/>
        </w:rPr>
        <w:t>Facilitating and assessing learning against outcomes</w:t>
      </w:r>
    </w:p>
    <w:p w14:paraId="6CBD5B4C" w14:textId="52E95CCE" w:rsidR="003F3688" w:rsidRDefault="003F3688" w:rsidP="003F3688">
      <w:pPr>
        <w:pStyle w:val="ListParagraph"/>
        <w:numPr>
          <w:ilvl w:val="2"/>
          <w:numId w:val="9"/>
        </w:numPr>
        <w:spacing w:after="120" w:line="276" w:lineRule="auto"/>
        <w:rPr>
          <w:rFonts w:eastAsia="Times New Roman" w:cstheme="minorHAnsi"/>
          <w:lang w:val="en-GB" w:eastAsia="en-GB"/>
        </w:rPr>
      </w:pPr>
      <w:r>
        <w:rPr>
          <w:rFonts w:eastAsia="Times New Roman" w:cstheme="minorHAnsi"/>
          <w:lang w:val="en-GB" w:eastAsia="en-GB"/>
        </w:rPr>
        <w:t xml:space="preserve">Mentoring and coaching of apprentices, including preparing for summative assessment </w:t>
      </w:r>
    </w:p>
    <w:p w14:paraId="50C6E26D" w14:textId="3A9B2553" w:rsidR="003F3688" w:rsidRPr="003F3688" w:rsidRDefault="003F3688" w:rsidP="003F3688">
      <w:pPr>
        <w:pStyle w:val="ListParagraph"/>
        <w:numPr>
          <w:ilvl w:val="2"/>
          <w:numId w:val="9"/>
        </w:numPr>
        <w:spacing w:after="120" w:line="276" w:lineRule="auto"/>
        <w:rPr>
          <w:rFonts w:eastAsia="Times New Roman" w:cstheme="minorHAnsi"/>
          <w:lang w:val="en-GB" w:eastAsia="en-GB"/>
        </w:rPr>
      </w:pPr>
      <w:r>
        <w:rPr>
          <w:rFonts w:eastAsia="Times New Roman" w:cstheme="minorHAnsi"/>
          <w:lang w:val="en-GB" w:eastAsia="en-GB"/>
        </w:rPr>
        <w:t xml:space="preserve">Keeping records (including supervising apprentices’ logbooks) and liaising with TVETP partner </w:t>
      </w:r>
    </w:p>
    <w:p w14:paraId="02C8AE19" w14:textId="760C5717" w:rsidR="00372112" w:rsidRDefault="00343343" w:rsidP="00372112">
      <w:pPr>
        <w:pStyle w:val="ListParagraph"/>
        <w:numPr>
          <w:ilvl w:val="0"/>
          <w:numId w:val="9"/>
        </w:numPr>
        <w:spacing w:after="120" w:line="276" w:lineRule="auto"/>
        <w:rPr>
          <w:rFonts w:eastAsia="Times New Roman" w:cstheme="minorHAnsi"/>
          <w:lang w:val="en-GB" w:eastAsia="en-GB"/>
        </w:rPr>
      </w:pPr>
      <w:r>
        <w:rPr>
          <w:rFonts w:eastAsia="Times New Roman" w:cstheme="minorHAnsi"/>
          <w:lang w:val="en-GB" w:eastAsia="en-GB"/>
        </w:rPr>
        <w:t>Monitoring and Reporting:</w:t>
      </w:r>
    </w:p>
    <w:p w14:paraId="52760743" w14:textId="41EA84CE" w:rsidR="00343343" w:rsidRDefault="00343343" w:rsidP="00343343">
      <w:pPr>
        <w:pStyle w:val="ListParagraph"/>
        <w:numPr>
          <w:ilvl w:val="1"/>
          <w:numId w:val="9"/>
        </w:numPr>
        <w:spacing w:after="120" w:line="276" w:lineRule="auto"/>
        <w:rPr>
          <w:rFonts w:eastAsia="Times New Roman" w:cstheme="minorHAnsi"/>
          <w:lang w:val="en-GB" w:eastAsia="en-GB"/>
        </w:rPr>
      </w:pPr>
      <w:r>
        <w:rPr>
          <w:rFonts w:eastAsia="Times New Roman" w:cstheme="minorHAnsi"/>
          <w:lang w:val="en-GB" w:eastAsia="en-GB"/>
        </w:rPr>
        <w:t>Employers need to establish monitoring and reporting systems that allow them to accurately map apprentices’ progress</w:t>
      </w:r>
    </w:p>
    <w:p w14:paraId="64EC8380" w14:textId="52F34B7E" w:rsidR="00343343" w:rsidRDefault="00343343" w:rsidP="00343343">
      <w:pPr>
        <w:pStyle w:val="ListParagraph"/>
        <w:numPr>
          <w:ilvl w:val="1"/>
          <w:numId w:val="9"/>
        </w:numPr>
        <w:spacing w:after="120" w:line="276" w:lineRule="auto"/>
        <w:rPr>
          <w:rFonts w:eastAsia="Times New Roman" w:cstheme="minorHAnsi"/>
          <w:lang w:val="en-GB" w:eastAsia="en-GB"/>
        </w:rPr>
      </w:pPr>
      <w:r>
        <w:rPr>
          <w:rFonts w:eastAsia="Times New Roman" w:cstheme="minorHAnsi"/>
          <w:lang w:val="en-GB" w:eastAsia="en-GB"/>
        </w:rPr>
        <w:t>TVETPs and employers collaborate on developing approaches that facilitate apprentices</w:t>
      </w:r>
      <w:r w:rsidR="00032814">
        <w:rPr>
          <w:rFonts w:eastAsia="Times New Roman" w:cstheme="minorHAnsi"/>
          <w:lang w:val="en-GB" w:eastAsia="en-GB"/>
        </w:rPr>
        <w:t>’</w:t>
      </w:r>
      <w:r>
        <w:rPr>
          <w:rFonts w:eastAsia="Times New Roman" w:cstheme="minorHAnsi"/>
          <w:lang w:val="en-GB" w:eastAsia="en-GB"/>
        </w:rPr>
        <w:t xml:space="preserve"> success and develop remedial plans for trainees who are failing to meet milestones. </w:t>
      </w:r>
    </w:p>
    <w:p w14:paraId="2CF2FD81" w14:textId="0D455B60" w:rsidR="00343343" w:rsidRDefault="00343343" w:rsidP="00343343">
      <w:pPr>
        <w:pStyle w:val="ListParagraph"/>
        <w:numPr>
          <w:ilvl w:val="1"/>
          <w:numId w:val="9"/>
        </w:numPr>
        <w:spacing w:after="120" w:line="276" w:lineRule="auto"/>
        <w:rPr>
          <w:rFonts w:eastAsia="Times New Roman" w:cstheme="minorHAnsi"/>
          <w:lang w:val="en-GB" w:eastAsia="en-GB"/>
        </w:rPr>
      </w:pPr>
      <w:r>
        <w:rPr>
          <w:rFonts w:eastAsia="Times New Roman" w:cstheme="minorHAnsi"/>
          <w:lang w:val="en-GB" w:eastAsia="en-GB"/>
        </w:rPr>
        <w:t xml:space="preserve">TVETPs and employers must inform NTA of risks to successful completion and mitigating activities </w:t>
      </w:r>
    </w:p>
    <w:p w14:paraId="0CB0C910" w14:textId="6DC8E6D0" w:rsidR="00A76A67" w:rsidRDefault="00A76A67" w:rsidP="00A76A67">
      <w:pPr>
        <w:pStyle w:val="ListParagraph"/>
        <w:numPr>
          <w:ilvl w:val="0"/>
          <w:numId w:val="9"/>
        </w:numPr>
        <w:spacing w:after="120" w:line="276" w:lineRule="auto"/>
        <w:rPr>
          <w:rFonts w:eastAsia="Times New Roman" w:cstheme="minorHAnsi"/>
          <w:lang w:val="en-GB" w:eastAsia="en-GB"/>
        </w:rPr>
      </w:pPr>
      <w:r>
        <w:rPr>
          <w:rFonts w:eastAsia="Times New Roman" w:cstheme="minorHAnsi"/>
          <w:lang w:val="en-GB" w:eastAsia="en-GB"/>
        </w:rPr>
        <w:t>Assessment:</w:t>
      </w:r>
    </w:p>
    <w:p w14:paraId="78B69B83" w14:textId="51162526" w:rsidR="00A76A67" w:rsidRDefault="00A76A67" w:rsidP="00A76A67">
      <w:pPr>
        <w:pStyle w:val="ListParagraph"/>
        <w:numPr>
          <w:ilvl w:val="1"/>
          <w:numId w:val="9"/>
        </w:numPr>
        <w:spacing w:after="120" w:line="276" w:lineRule="auto"/>
        <w:rPr>
          <w:rFonts w:eastAsia="Times New Roman" w:cstheme="minorHAnsi"/>
          <w:lang w:val="en-GB" w:eastAsia="en-GB"/>
        </w:rPr>
      </w:pPr>
      <w:r>
        <w:rPr>
          <w:rFonts w:eastAsia="Times New Roman" w:cstheme="minorHAnsi"/>
          <w:lang w:val="en-GB" w:eastAsia="en-GB"/>
        </w:rPr>
        <w:t>Overview of the use of logbooks</w:t>
      </w:r>
    </w:p>
    <w:p w14:paraId="4DB35AAD" w14:textId="4A5F2F3D" w:rsidR="00A76A67" w:rsidRDefault="00A76A67" w:rsidP="00A76A67">
      <w:pPr>
        <w:pStyle w:val="ListParagraph"/>
        <w:numPr>
          <w:ilvl w:val="1"/>
          <w:numId w:val="9"/>
        </w:numPr>
        <w:spacing w:after="120" w:line="276" w:lineRule="auto"/>
        <w:rPr>
          <w:rFonts w:eastAsia="Times New Roman" w:cstheme="minorHAnsi"/>
          <w:lang w:val="en-GB" w:eastAsia="en-GB"/>
        </w:rPr>
      </w:pPr>
      <w:r>
        <w:rPr>
          <w:rFonts w:eastAsia="Times New Roman" w:cstheme="minorHAnsi"/>
          <w:lang w:val="en-GB" w:eastAsia="en-GB"/>
        </w:rPr>
        <w:t>Required links to NQF Awards</w:t>
      </w:r>
    </w:p>
    <w:p w14:paraId="12AE947E" w14:textId="282E55CB" w:rsidR="00A76A67" w:rsidRDefault="00A76A67" w:rsidP="00A76A67">
      <w:pPr>
        <w:pStyle w:val="ListParagraph"/>
        <w:numPr>
          <w:ilvl w:val="1"/>
          <w:numId w:val="9"/>
        </w:numPr>
        <w:spacing w:after="120" w:line="276" w:lineRule="auto"/>
        <w:rPr>
          <w:rFonts w:eastAsia="Times New Roman" w:cstheme="minorHAnsi"/>
          <w:lang w:val="en-GB" w:eastAsia="en-GB"/>
        </w:rPr>
      </w:pPr>
      <w:r>
        <w:rPr>
          <w:rFonts w:eastAsia="Times New Roman" w:cstheme="minorHAnsi"/>
          <w:lang w:val="en-GB" w:eastAsia="en-GB"/>
        </w:rPr>
        <w:t>NTA established database of apprentices/trainees who have successfully completed their WIL programme</w:t>
      </w:r>
    </w:p>
    <w:p w14:paraId="6A997DD8" w14:textId="5E306F31" w:rsidR="00D27ADB" w:rsidRDefault="00D27ADB" w:rsidP="00A76A67">
      <w:pPr>
        <w:pStyle w:val="ListParagraph"/>
        <w:numPr>
          <w:ilvl w:val="1"/>
          <w:numId w:val="9"/>
        </w:numPr>
        <w:spacing w:after="120" w:line="276" w:lineRule="auto"/>
        <w:rPr>
          <w:rFonts w:eastAsia="Times New Roman" w:cstheme="minorHAnsi"/>
          <w:lang w:val="en-GB" w:eastAsia="en-GB"/>
        </w:rPr>
      </w:pPr>
      <w:r>
        <w:rPr>
          <w:rFonts w:eastAsia="Times New Roman" w:cstheme="minorHAnsi"/>
          <w:lang w:val="en-GB" w:eastAsia="en-GB"/>
        </w:rPr>
        <w:t xml:space="preserve">Assessment eligibility criteria </w:t>
      </w:r>
    </w:p>
    <w:p w14:paraId="6DF3B8A8" w14:textId="22CBC951" w:rsidR="00A60275" w:rsidRDefault="00A60275" w:rsidP="00A60275">
      <w:pPr>
        <w:spacing w:after="120" w:line="276" w:lineRule="auto"/>
        <w:rPr>
          <w:rFonts w:eastAsia="Times New Roman" w:cstheme="minorHAnsi"/>
          <w:lang w:val="en-GB" w:eastAsia="en-GB"/>
        </w:rPr>
      </w:pPr>
      <w:r>
        <w:rPr>
          <w:rFonts w:eastAsia="Times New Roman" w:cstheme="minorHAnsi"/>
          <w:lang w:val="en-GB" w:eastAsia="en-GB"/>
        </w:rPr>
        <w:t>When promoting apprenticeship to employers a simpler version of the above-presented stages is used</w:t>
      </w:r>
      <w:r w:rsidR="0086612B">
        <w:rPr>
          <w:rFonts w:eastAsia="Times New Roman" w:cstheme="minorHAnsi"/>
          <w:lang w:val="en-GB" w:eastAsia="en-GB"/>
        </w:rPr>
        <w:t>.</w:t>
      </w:r>
    </w:p>
    <w:p w14:paraId="491AA870" w14:textId="240D7A81" w:rsidR="00203730" w:rsidRPr="00BE2B1A" w:rsidRDefault="000A7B59" w:rsidP="00BE2B1A">
      <w:pPr>
        <w:pStyle w:val="NoSpacing"/>
        <w:spacing w:line="276" w:lineRule="auto"/>
        <w:rPr>
          <w:b/>
          <w:bCs/>
          <w:lang w:val="en-GB" w:eastAsia="en-GB"/>
        </w:rPr>
      </w:pPr>
      <w:r w:rsidRPr="00BE2B1A">
        <w:rPr>
          <w:b/>
          <w:bCs/>
          <w:lang w:val="en-GB" w:eastAsia="en-GB"/>
        </w:rPr>
        <w:lastRenderedPageBreak/>
        <w:t>Funding</w:t>
      </w:r>
    </w:p>
    <w:p w14:paraId="0919D540" w14:textId="149DC483" w:rsidR="000A7B59" w:rsidRPr="00BE2B1A" w:rsidRDefault="000A7B59" w:rsidP="00BE2B1A">
      <w:pPr>
        <w:pStyle w:val="NoSpacing"/>
        <w:spacing w:line="276" w:lineRule="auto"/>
        <w:rPr>
          <w:lang w:val="en-GB" w:eastAsia="en-GB"/>
        </w:rPr>
      </w:pPr>
      <w:r w:rsidRPr="00BE2B1A">
        <w:rPr>
          <w:lang w:val="en-GB" w:eastAsia="en-GB"/>
        </w:rPr>
        <w:t>A particularly innovative aspect of this NTA apprenticeship initiative is the funding model that underpins its delivery. Once the guidelines have been met</w:t>
      </w:r>
      <w:r w:rsidR="00D27ADB" w:rsidRPr="00BE2B1A">
        <w:rPr>
          <w:lang w:val="en-GB" w:eastAsia="en-GB"/>
        </w:rPr>
        <w:t xml:space="preserve"> and approved by NTA, employers and apprentices can assess funding through Namibia’s training lev</w:t>
      </w:r>
      <w:r w:rsidR="00FF73D6">
        <w:rPr>
          <w:lang w:val="en-GB" w:eastAsia="en-GB"/>
        </w:rPr>
        <w:t>y</w:t>
      </w:r>
      <w:r w:rsidR="00D27ADB" w:rsidRPr="00BE2B1A">
        <w:rPr>
          <w:lang w:val="en-GB" w:eastAsia="en-GB"/>
        </w:rPr>
        <w:t xml:space="preserve">. This will incentivise employers and apprentices to conduct WIL under NTA’s framework and helping to drive training that meet Namibia’s identified TVET challenges. Funding through the initiative includes: </w:t>
      </w:r>
    </w:p>
    <w:p w14:paraId="59339D55" w14:textId="498A1E82" w:rsidR="00A02B5D" w:rsidRPr="008776BC" w:rsidRDefault="00D27ADB" w:rsidP="00BE2B1A">
      <w:pPr>
        <w:pStyle w:val="ListParagraph"/>
        <w:numPr>
          <w:ilvl w:val="0"/>
          <w:numId w:val="9"/>
        </w:numPr>
        <w:spacing w:after="120" w:line="276" w:lineRule="auto"/>
        <w:rPr>
          <w:rFonts w:eastAsia="Times New Roman" w:cstheme="minorHAnsi"/>
          <w:lang w:val="en-GB" w:eastAsia="en-GB"/>
        </w:rPr>
      </w:pPr>
      <w:r w:rsidRPr="008776BC">
        <w:rPr>
          <w:rFonts w:eastAsia="Times New Roman" w:cstheme="minorHAnsi"/>
          <w:lang w:val="en-GB" w:eastAsia="en-GB"/>
        </w:rPr>
        <w:t>A grant of N$</w:t>
      </w:r>
      <w:r w:rsidR="000A7B59" w:rsidRPr="008776BC">
        <w:rPr>
          <w:rFonts w:eastAsia="Times New Roman" w:cstheme="minorHAnsi"/>
          <w:lang w:val="en-GB" w:eastAsia="en-GB"/>
        </w:rPr>
        <w:t xml:space="preserve">53,600-00 per annum </w:t>
      </w:r>
      <w:r w:rsidRPr="008776BC">
        <w:rPr>
          <w:rFonts w:eastAsia="Times New Roman" w:cstheme="minorHAnsi"/>
          <w:lang w:val="en-GB" w:eastAsia="en-GB"/>
        </w:rPr>
        <w:t xml:space="preserve">for employers who employ an apprentice. There is also an opportunity for NTA to increase allocated grants to reflect </w:t>
      </w:r>
      <w:r w:rsidR="00A02B5D" w:rsidRPr="008776BC">
        <w:rPr>
          <w:rFonts w:eastAsia="Times New Roman" w:cstheme="minorHAnsi"/>
          <w:lang w:val="en-GB" w:eastAsia="en-GB"/>
        </w:rPr>
        <w:t xml:space="preserve">the intensity of the target occupation. The grant assists employers in paying a minimum monthly wage (allowance) to apprentices and make a contribution to training fees. The grant will also reduce the burden of costs for employers during the early stages of the apprentices training programme as they move towards productivity. </w:t>
      </w:r>
    </w:p>
    <w:p w14:paraId="52C143C2" w14:textId="310E3808" w:rsidR="00A02B5D" w:rsidRPr="008776BC" w:rsidRDefault="00A02B5D" w:rsidP="00BE2B1A">
      <w:pPr>
        <w:pStyle w:val="ListParagraph"/>
        <w:numPr>
          <w:ilvl w:val="0"/>
          <w:numId w:val="9"/>
        </w:numPr>
        <w:spacing w:after="120" w:line="276" w:lineRule="auto"/>
        <w:rPr>
          <w:rFonts w:eastAsia="Times New Roman" w:cstheme="minorHAnsi"/>
          <w:lang w:val="en-GB" w:eastAsia="en-GB"/>
        </w:rPr>
      </w:pPr>
      <w:r w:rsidRPr="008776BC">
        <w:rPr>
          <w:rFonts w:eastAsia="Times New Roman" w:cstheme="minorHAnsi"/>
          <w:lang w:val="en-GB" w:eastAsia="en-GB"/>
        </w:rPr>
        <w:t xml:space="preserve">The funding arrangement for apprenticeships is included in the memorandum of agreement (MoA) signed between the NTA and employers. This will help to formalise the payment and link it with the delivery of the agreed apprenticeship for the (minimum) three-year duration of the programme. </w:t>
      </w:r>
    </w:p>
    <w:p w14:paraId="0988468E" w14:textId="7E768859" w:rsidR="00A02B5D" w:rsidRPr="008776BC" w:rsidRDefault="00BE2B1A" w:rsidP="00BE2B1A">
      <w:pPr>
        <w:pStyle w:val="ListParagraph"/>
        <w:numPr>
          <w:ilvl w:val="0"/>
          <w:numId w:val="9"/>
        </w:numPr>
        <w:spacing w:after="120" w:line="276" w:lineRule="auto"/>
        <w:rPr>
          <w:rFonts w:eastAsia="Times New Roman" w:cstheme="minorHAnsi"/>
          <w:lang w:val="en-GB" w:eastAsia="en-GB"/>
        </w:rPr>
      </w:pPr>
      <w:r w:rsidRPr="008776BC">
        <w:rPr>
          <w:rFonts w:eastAsia="Times New Roman" w:cstheme="minorHAnsi"/>
          <w:lang w:val="en-GB" w:eastAsia="en-GB"/>
        </w:rPr>
        <w:t>Importantly</w:t>
      </w:r>
      <w:r w:rsidR="00A02B5D" w:rsidRPr="008776BC">
        <w:rPr>
          <w:rFonts w:eastAsia="Times New Roman" w:cstheme="minorHAnsi"/>
          <w:lang w:val="en-GB" w:eastAsia="en-GB"/>
        </w:rPr>
        <w:t xml:space="preserve">, grant payments will be paid out in four </w:t>
      </w:r>
      <w:r w:rsidRPr="008776BC">
        <w:rPr>
          <w:rFonts w:eastAsia="Times New Roman" w:cstheme="minorHAnsi"/>
          <w:lang w:val="en-GB" w:eastAsia="en-GB"/>
        </w:rPr>
        <w:t xml:space="preserve">annual </w:t>
      </w:r>
      <w:r w:rsidR="00A02B5D" w:rsidRPr="008776BC">
        <w:rPr>
          <w:rFonts w:eastAsia="Times New Roman" w:cstheme="minorHAnsi"/>
          <w:lang w:val="en-GB" w:eastAsia="en-GB"/>
        </w:rPr>
        <w:t>tranches</w:t>
      </w:r>
      <w:r w:rsidRPr="008776BC">
        <w:rPr>
          <w:rFonts w:eastAsia="Times New Roman" w:cstheme="minorHAnsi"/>
          <w:lang w:val="en-GB" w:eastAsia="en-GB"/>
        </w:rPr>
        <w:t xml:space="preserve"> depending on the meeting of key deliverables:</w:t>
      </w:r>
    </w:p>
    <w:p w14:paraId="2459ABA8" w14:textId="1ABDCD1B" w:rsidR="00BE2B1A" w:rsidRPr="008776BC" w:rsidRDefault="00120110" w:rsidP="00BE2B1A">
      <w:pPr>
        <w:pStyle w:val="ListParagraph"/>
        <w:numPr>
          <w:ilvl w:val="1"/>
          <w:numId w:val="9"/>
        </w:numPr>
        <w:spacing w:after="120"/>
        <w:rPr>
          <w:rFonts w:eastAsia="Times New Roman" w:cstheme="minorHAnsi"/>
          <w:lang w:val="en-GB" w:eastAsia="en-GB"/>
        </w:rPr>
      </w:pPr>
      <w:r w:rsidRPr="008776BC">
        <w:rPr>
          <w:rFonts w:eastAsia="Times New Roman" w:cstheme="minorHAnsi"/>
          <w:lang w:val="en-GB" w:eastAsia="en-GB"/>
        </w:rPr>
        <w:t xml:space="preserve">Tranche 1 (25%): released after first 30 days of the apprenticeships subject to: NTA approval of apprenticeship agreement, workplace induction, identification and communicating of skills gaps by employers for TVETPs to address and setting of </w:t>
      </w:r>
      <w:r w:rsidR="00C13228" w:rsidRPr="008776BC">
        <w:rPr>
          <w:rFonts w:eastAsia="Times New Roman" w:cstheme="minorHAnsi"/>
          <w:lang w:val="en-GB" w:eastAsia="en-GB"/>
        </w:rPr>
        <w:t xml:space="preserve">apprentices’ </w:t>
      </w:r>
      <w:r w:rsidRPr="008776BC">
        <w:rPr>
          <w:rFonts w:eastAsia="Times New Roman" w:cstheme="minorHAnsi"/>
          <w:lang w:val="en-GB" w:eastAsia="en-GB"/>
        </w:rPr>
        <w:t>training implementation plans</w:t>
      </w:r>
    </w:p>
    <w:p w14:paraId="6ABEF6CE" w14:textId="5AAD0214" w:rsidR="00120110" w:rsidRPr="008776BC" w:rsidRDefault="00120110" w:rsidP="00BE2B1A">
      <w:pPr>
        <w:pStyle w:val="ListParagraph"/>
        <w:numPr>
          <w:ilvl w:val="1"/>
          <w:numId w:val="9"/>
        </w:numPr>
        <w:spacing w:after="120"/>
        <w:rPr>
          <w:rFonts w:eastAsia="Times New Roman" w:cstheme="minorHAnsi"/>
          <w:lang w:val="en-GB" w:eastAsia="en-GB"/>
        </w:rPr>
      </w:pPr>
      <w:r w:rsidRPr="008776BC">
        <w:rPr>
          <w:rFonts w:eastAsia="Times New Roman" w:cstheme="minorHAnsi"/>
          <w:lang w:val="en-GB" w:eastAsia="en-GB"/>
        </w:rPr>
        <w:t xml:space="preserve">Tranche 2 (25%): </w:t>
      </w:r>
      <w:r w:rsidR="008D0D63" w:rsidRPr="008776BC">
        <w:rPr>
          <w:rFonts w:eastAsia="Times New Roman" w:cstheme="minorHAnsi"/>
          <w:lang w:val="en-GB" w:eastAsia="en-GB"/>
        </w:rPr>
        <w:t xml:space="preserve">released after the </w:t>
      </w:r>
      <w:r w:rsidRPr="008776BC">
        <w:rPr>
          <w:rFonts w:eastAsia="Times New Roman" w:cstheme="minorHAnsi"/>
          <w:lang w:val="en-GB" w:eastAsia="en-GB"/>
        </w:rPr>
        <w:t xml:space="preserve">completion of first three months </w:t>
      </w:r>
      <w:r w:rsidR="008D0D63" w:rsidRPr="008776BC">
        <w:rPr>
          <w:rFonts w:eastAsia="Times New Roman" w:cstheme="minorHAnsi"/>
          <w:lang w:val="en-GB" w:eastAsia="en-GB"/>
        </w:rPr>
        <w:t xml:space="preserve">of the WIL programme, subject to: satisfactory training progress report. This is the last opportunity to replace any apprentices who are not making sufficient progress. </w:t>
      </w:r>
    </w:p>
    <w:p w14:paraId="3A3592E1" w14:textId="09DAFD2A" w:rsidR="0052261C" w:rsidRPr="008776BC" w:rsidRDefault="008D0D63" w:rsidP="0052261C">
      <w:pPr>
        <w:pStyle w:val="ListParagraph"/>
        <w:numPr>
          <w:ilvl w:val="1"/>
          <w:numId w:val="9"/>
        </w:numPr>
        <w:spacing w:after="120"/>
        <w:rPr>
          <w:rFonts w:eastAsia="Times New Roman" w:cstheme="minorHAnsi"/>
          <w:lang w:val="en-GB" w:eastAsia="en-GB"/>
        </w:rPr>
      </w:pPr>
      <w:r w:rsidRPr="008776BC">
        <w:rPr>
          <w:rFonts w:eastAsia="Times New Roman" w:cstheme="minorHAnsi"/>
          <w:lang w:val="en-GB" w:eastAsia="en-GB"/>
        </w:rPr>
        <w:t xml:space="preserve">Tranche 3 (40%): released to the employer subject to: receipt of TVETP performance report, </w:t>
      </w:r>
      <w:r w:rsidR="0014036C" w:rsidRPr="008776BC">
        <w:rPr>
          <w:rFonts w:eastAsia="Times New Roman" w:cstheme="minorHAnsi"/>
          <w:lang w:val="en-GB" w:eastAsia="en-GB"/>
        </w:rPr>
        <w:t xml:space="preserve">and employer progress monitoring report, indicating that the apprentices have completed 60% of their qualifications and programme. </w:t>
      </w:r>
      <w:r w:rsidR="0052261C" w:rsidRPr="008776BC">
        <w:rPr>
          <w:rFonts w:eastAsia="Times New Roman" w:cstheme="minorHAnsi"/>
          <w:lang w:val="en-GB" w:eastAsia="en-GB"/>
        </w:rPr>
        <w:t xml:space="preserve">The amount of payment will be based on the level of apprentices’ progress with qualifications and performance. This will be assessed through evidence gathered via logbooks, TVETP performance reports and NTA monitoring visits. </w:t>
      </w:r>
    </w:p>
    <w:p w14:paraId="312EEE8E" w14:textId="0C574147" w:rsidR="0052261C" w:rsidRPr="008776BC" w:rsidRDefault="0052261C" w:rsidP="0052261C">
      <w:pPr>
        <w:pStyle w:val="ListParagraph"/>
        <w:numPr>
          <w:ilvl w:val="1"/>
          <w:numId w:val="9"/>
        </w:numPr>
        <w:spacing w:after="120"/>
        <w:rPr>
          <w:rFonts w:eastAsia="Times New Roman" w:cstheme="minorHAnsi"/>
          <w:lang w:val="en-GB" w:eastAsia="en-GB"/>
        </w:rPr>
      </w:pPr>
      <w:r w:rsidRPr="008776BC">
        <w:rPr>
          <w:rFonts w:eastAsia="Times New Roman" w:cstheme="minorHAnsi"/>
          <w:lang w:val="en-GB" w:eastAsia="en-GB"/>
        </w:rPr>
        <w:t xml:space="preserve">Tranche 4 (10%): released after the submission of the closure report which captures </w:t>
      </w:r>
      <w:r w:rsidR="002215B5" w:rsidRPr="008776BC">
        <w:rPr>
          <w:rFonts w:eastAsia="Times New Roman" w:cstheme="minorHAnsi"/>
          <w:lang w:val="en-GB" w:eastAsia="en-GB"/>
        </w:rPr>
        <w:t xml:space="preserve">the completion of apprentices’ individual learning programmes and potential employment opportunities. This includes linking payment based on apprentices’ proven competence in the target occupation and qualification. </w:t>
      </w:r>
    </w:p>
    <w:p w14:paraId="4ABBBDDA" w14:textId="6614D4A3" w:rsidR="002215B5" w:rsidRPr="008776BC" w:rsidRDefault="000A7B59" w:rsidP="00D27ADB">
      <w:pPr>
        <w:pStyle w:val="ListParagraph"/>
        <w:numPr>
          <w:ilvl w:val="0"/>
          <w:numId w:val="9"/>
        </w:numPr>
        <w:spacing w:after="120"/>
        <w:rPr>
          <w:rFonts w:eastAsia="Times New Roman" w:cstheme="minorHAnsi"/>
          <w:lang w:val="en-GB" w:eastAsia="en-GB"/>
        </w:rPr>
      </w:pPr>
      <w:r w:rsidRPr="008776BC">
        <w:rPr>
          <w:rFonts w:eastAsia="Times New Roman" w:cstheme="minorHAnsi"/>
          <w:lang w:val="en-GB" w:eastAsia="en-GB"/>
        </w:rPr>
        <w:t>Apprentice</w:t>
      </w:r>
      <w:r w:rsidR="002215B5" w:rsidRPr="008776BC">
        <w:rPr>
          <w:rFonts w:eastAsia="Times New Roman" w:cstheme="minorHAnsi"/>
          <w:lang w:val="en-GB" w:eastAsia="en-GB"/>
        </w:rPr>
        <w:t>s</w:t>
      </w:r>
      <w:r w:rsidRPr="008776BC">
        <w:rPr>
          <w:rFonts w:eastAsia="Times New Roman" w:cstheme="minorHAnsi"/>
          <w:lang w:val="en-GB" w:eastAsia="en-GB"/>
        </w:rPr>
        <w:t xml:space="preserve"> </w:t>
      </w:r>
      <w:r w:rsidR="002215B5" w:rsidRPr="008776BC">
        <w:rPr>
          <w:rFonts w:eastAsia="Times New Roman" w:cstheme="minorHAnsi"/>
          <w:lang w:val="en-GB" w:eastAsia="en-GB"/>
        </w:rPr>
        <w:t xml:space="preserve">also </w:t>
      </w:r>
      <w:r w:rsidRPr="008776BC">
        <w:rPr>
          <w:rFonts w:eastAsia="Times New Roman" w:cstheme="minorHAnsi"/>
          <w:lang w:val="en-GB" w:eastAsia="en-GB"/>
        </w:rPr>
        <w:t>receive</w:t>
      </w:r>
      <w:r w:rsidR="002215B5" w:rsidRPr="008776BC">
        <w:rPr>
          <w:rFonts w:eastAsia="Times New Roman" w:cstheme="minorHAnsi"/>
          <w:lang w:val="en-GB" w:eastAsia="en-GB"/>
        </w:rPr>
        <w:t xml:space="preserve"> funding support via</w:t>
      </w:r>
      <w:r w:rsidRPr="008776BC">
        <w:rPr>
          <w:rFonts w:eastAsia="Times New Roman" w:cstheme="minorHAnsi"/>
          <w:lang w:val="en-GB" w:eastAsia="en-GB"/>
        </w:rPr>
        <w:t xml:space="preserve"> a </w:t>
      </w:r>
      <w:r w:rsidR="002215B5" w:rsidRPr="008776BC">
        <w:rPr>
          <w:rFonts w:eastAsia="Times New Roman" w:cstheme="minorHAnsi"/>
          <w:lang w:val="en-GB" w:eastAsia="en-GB"/>
        </w:rPr>
        <w:t xml:space="preserve">minimum </w:t>
      </w:r>
      <w:r w:rsidRPr="008776BC">
        <w:rPr>
          <w:rFonts w:eastAsia="Times New Roman" w:cstheme="minorHAnsi"/>
          <w:lang w:val="en-GB" w:eastAsia="en-GB"/>
        </w:rPr>
        <w:t xml:space="preserve">monthly </w:t>
      </w:r>
      <w:r w:rsidR="002215B5" w:rsidRPr="008776BC">
        <w:rPr>
          <w:rFonts w:eastAsia="Times New Roman" w:cstheme="minorHAnsi"/>
          <w:lang w:val="en-GB" w:eastAsia="en-GB"/>
        </w:rPr>
        <w:t>a</w:t>
      </w:r>
      <w:r w:rsidRPr="008776BC">
        <w:rPr>
          <w:rFonts w:eastAsia="Times New Roman" w:cstheme="minorHAnsi"/>
          <w:lang w:val="en-GB" w:eastAsia="en-GB"/>
        </w:rPr>
        <w:t xml:space="preserve">llowance of N$ </w:t>
      </w:r>
      <w:r w:rsidR="002215B5" w:rsidRPr="008776BC">
        <w:rPr>
          <w:rFonts w:eastAsia="Times New Roman" w:cstheme="minorHAnsi"/>
          <w:lang w:val="en-GB" w:eastAsia="en-GB"/>
        </w:rPr>
        <w:t>2,500</w:t>
      </w:r>
      <w:r w:rsidR="00E37A12">
        <w:rPr>
          <w:rFonts w:eastAsia="Times New Roman" w:cstheme="minorHAnsi"/>
          <w:lang w:val="en-GB" w:eastAsia="en-GB"/>
        </w:rPr>
        <w:t>, additional funding remaining from the employer grant can be used to fund their contribution and develop training facilities,</w:t>
      </w:r>
      <w:r w:rsidR="002215B5" w:rsidRPr="008776BC">
        <w:rPr>
          <w:rFonts w:eastAsia="Times New Roman" w:cstheme="minorHAnsi"/>
          <w:lang w:val="en-GB" w:eastAsia="en-GB"/>
        </w:rPr>
        <w:t xml:space="preserve"> during</w:t>
      </w:r>
      <w:r w:rsidRPr="008776BC">
        <w:rPr>
          <w:rFonts w:eastAsia="Times New Roman" w:cstheme="minorHAnsi"/>
          <w:lang w:val="en-GB" w:eastAsia="en-GB"/>
        </w:rPr>
        <w:t xml:space="preserve"> the </w:t>
      </w:r>
      <w:r w:rsidR="002215B5" w:rsidRPr="008776BC">
        <w:rPr>
          <w:rFonts w:eastAsia="Times New Roman" w:cstheme="minorHAnsi"/>
          <w:lang w:val="en-GB" w:eastAsia="en-GB"/>
        </w:rPr>
        <w:t>duration of the WIL programme.</w:t>
      </w:r>
      <w:r w:rsidRPr="008776BC">
        <w:rPr>
          <w:rFonts w:eastAsia="Times New Roman" w:cstheme="minorHAnsi"/>
          <w:lang w:val="en-GB" w:eastAsia="en-GB"/>
        </w:rPr>
        <w:t xml:space="preserve"> </w:t>
      </w:r>
      <w:r w:rsidR="002215B5" w:rsidRPr="008776BC">
        <w:rPr>
          <w:rFonts w:eastAsia="Times New Roman" w:cstheme="minorHAnsi"/>
          <w:lang w:val="en-GB" w:eastAsia="en-GB"/>
        </w:rPr>
        <w:t xml:space="preserve">Employers and apprentices can agree a higher rate which should be recorded as part of the apprenticeship agreement. </w:t>
      </w:r>
    </w:p>
    <w:p w14:paraId="26056A50" w14:textId="77777777" w:rsidR="002215B5" w:rsidRPr="008776BC" w:rsidRDefault="000A7B59" w:rsidP="00D27ADB">
      <w:pPr>
        <w:pStyle w:val="ListParagraph"/>
        <w:numPr>
          <w:ilvl w:val="0"/>
          <w:numId w:val="9"/>
        </w:numPr>
        <w:spacing w:after="120"/>
        <w:rPr>
          <w:rFonts w:eastAsia="Times New Roman" w:cstheme="minorHAnsi"/>
          <w:lang w:val="en-GB" w:eastAsia="en-GB"/>
        </w:rPr>
      </w:pPr>
      <w:r w:rsidRPr="008776BC">
        <w:rPr>
          <w:rFonts w:eastAsia="Times New Roman" w:cstheme="minorHAnsi"/>
          <w:lang w:val="en-GB" w:eastAsia="en-GB"/>
        </w:rPr>
        <w:t xml:space="preserve">Off-the job training delivered at </w:t>
      </w:r>
      <w:r w:rsidR="002215B5" w:rsidRPr="008776BC">
        <w:rPr>
          <w:rFonts w:eastAsia="Times New Roman" w:cstheme="minorHAnsi"/>
          <w:lang w:val="en-GB" w:eastAsia="en-GB"/>
        </w:rPr>
        <w:t xml:space="preserve">the TVETP or employer should be treated as </w:t>
      </w:r>
      <w:r w:rsidRPr="008776BC">
        <w:rPr>
          <w:rFonts w:eastAsia="Times New Roman" w:cstheme="minorHAnsi"/>
          <w:lang w:val="en-GB" w:eastAsia="en-GB"/>
        </w:rPr>
        <w:t xml:space="preserve">part of the Apprentice’s normal paid working hours </w:t>
      </w:r>
    </w:p>
    <w:p w14:paraId="5A49A12D" w14:textId="1476B136" w:rsidR="000A7B59" w:rsidRPr="00792517" w:rsidRDefault="000A7B59" w:rsidP="008776BC">
      <w:pPr>
        <w:pStyle w:val="ListParagraph"/>
        <w:numPr>
          <w:ilvl w:val="0"/>
          <w:numId w:val="9"/>
        </w:numPr>
        <w:spacing w:after="120"/>
        <w:rPr>
          <w:rFonts w:eastAsia="Times New Roman" w:cstheme="minorHAnsi"/>
          <w:lang w:val="en-GB" w:eastAsia="en-GB"/>
        </w:rPr>
      </w:pPr>
      <w:r w:rsidRPr="008776BC">
        <w:rPr>
          <w:rFonts w:eastAsia="Times New Roman" w:cstheme="minorHAnsi"/>
          <w:lang w:val="en-GB" w:eastAsia="en-GB"/>
        </w:rPr>
        <w:t xml:space="preserve">Employers </w:t>
      </w:r>
      <w:r w:rsidR="002215B5" w:rsidRPr="008776BC">
        <w:rPr>
          <w:rFonts w:eastAsia="Times New Roman" w:cstheme="minorHAnsi"/>
          <w:lang w:val="en-GB" w:eastAsia="en-GB"/>
        </w:rPr>
        <w:t>receive an additional grant of N$ 20,000.00 for hiring an apprentice with disabilities</w:t>
      </w:r>
      <w:r w:rsidR="008776BC" w:rsidRPr="008776BC">
        <w:rPr>
          <w:rFonts w:eastAsia="Times New Roman" w:cstheme="minorHAnsi"/>
          <w:lang w:val="en-GB" w:eastAsia="en-GB"/>
        </w:rPr>
        <w:t xml:space="preserve">. It is intended that this grant should be used to develop companies’ facilities to ensure to facilitate </w:t>
      </w:r>
      <w:r w:rsidR="008776BC" w:rsidRPr="00792517">
        <w:rPr>
          <w:rFonts w:eastAsia="Times New Roman" w:cstheme="minorHAnsi"/>
          <w:lang w:val="en-GB" w:eastAsia="en-GB"/>
        </w:rPr>
        <w:t xml:space="preserve">access for apprentices with disabilities. </w:t>
      </w:r>
    </w:p>
    <w:p w14:paraId="199764A0" w14:textId="3694B5DC" w:rsidR="00507537" w:rsidRPr="00792517" w:rsidRDefault="00792517" w:rsidP="00921102">
      <w:pPr>
        <w:spacing w:after="120"/>
        <w:rPr>
          <w:rFonts w:eastAsia="Times New Roman" w:cstheme="minorHAnsi"/>
          <w:lang w:val="en-GB" w:eastAsia="en-GB"/>
        </w:rPr>
      </w:pPr>
      <w:r w:rsidRPr="00792517">
        <w:rPr>
          <w:rFonts w:eastAsia="Times New Roman" w:cstheme="minorHAnsi"/>
          <w:lang w:val="en-GB" w:eastAsia="en-GB"/>
        </w:rPr>
        <w:t xml:space="preserve">The guidelines also include mandatory procedures for the design and delivery of industrial attachments and recognition of prior learning (RPL). </w:t>
      </w:r>
    </w:p>
    <w:p w14:paraId="4D7D369B" w14:textId="6CB3FC81" w:rsidR="009E19CA" w:rsidRPr="00592525" w:rsidRDefault="00CF0B66" w:rsidP="00B52F47">
      <w:pPr>
        <w:pBdr>
          <w:bottom w:val="single" w:sz="4" w:space="1" w:color="auto"/>
        </w:pBdr>
        <w:spacing w:before="240"/>
        <w:rPr>
          <w:b/>
          <w:bCs/>
          <w:lang w:val="en-GB"/>
        </w:rPr>
      </w:pPr>
      <w:r w:rsidRPr="00592525">
        <w:rPr>
          <w:b/>
          <w:bCs/>
          <w:lang w:val="en-GB"/>
        </w:rPr>
        <w:lastRenderedPageBreak/>
        <w:t>Pros</w:t>
      </w:r>
      <w:r w:rsidR="00955783" w:rsidRPr="00592525">
        <w:rPr>
          <w:b/>
          <w:bCs/>
          <w:lang w:val="en-GB"/>
        </w:rPr>
        <w:t xml:space="preserve"> and Cons</w:t>
      </w:r>
    </w:p>
    <w:p w14:paraId="18242559" w14:textId="77777777" w:rsidR="00F24C67" w:rsidRPr="00032814" w:rsidRDefault="00F24C67" w:rsidP="00F24C67">
      <w:pPr>
        <w:spacing w:line="276" w:lineRule="auto"/>
        <w:rPr>
          <w:rFonts w:cstheme="minorHAnsi"/>
          <w:b/>
          <w:bCs/>
          <w:color w:val="333333"/>
          <w:lang w:val="en-GB" w:eastAsia="da-DK"/>
        </w:rPr>
      </w:pPr>
      <w:r w:rsidRPr="00032814">
        <w:rPr>
          <w:rFonts w:cstheme="minorHAnsi"/>
          <w:b/>
          <w:bCs/>
          <w:color w:val="333333"/>
          <w:lang w:val="en-GB" w:eastAsia="da-DK"/>
        </w:rPr>
        <w:t>Pros</w:t>
      </w:r>
    </w:p>
    <w:p w14:paraId="1F51F017" w14:textId="24B1E811" w:rsidR="00756C00" w:rsidRPr="00756C00" w:rsidRDefault="00756C00" w:rsidP="00F24C67">
      <w:pPr>
        <w:pStyle w:val="ListParagraph"/>
        <w:numPr>
          <w:ilvl w:val="0"/>
          <w:numId w:val="10"/>
        </w:numPr>
        <w:spacing w:after="0" w:line="276" w:lineRule="auto"/>
        <w:rPr>
          <w:rFonts w:cstheme="minorHAnsi"/>
          <w:color w:val="333333"/>
          <w:lang w:val="en-GB" w:eastAsia="da-DK"/>
        </w:rPr>
      </w:pPr>
      <w:r>
        <w:rPr>
          <w:rFonts w:cstheme="minorHAnsi"/>
          <w:color w:val="333333"/>
          <w:lang w:val="en-GB" w:eastAsia="da-DK"/>
        </w:rPr>
        <w:t xml:space="preserve">The use of levy funding </w:t>
      </w:r>
      <w:r w:rsidR="00F70791">
        <w:rPr>
          <w:rFonts w:cstheme="minorHAnsi"/>
          <w:color w:val="333333"/>
          <w:lang w:val="en-GB" w:eastAsia="da-DK"/>
        </w:rPr>
        <w:t>aligned</w:t>
      </w:r>
      <w:r>
        <w:rPr>
          <w:rFonts w:cstheme="minorHAnsi"/>
          <w:color w:val="333333"/>
          <w:lang w:val="en-GB" w:eastAsia="da-DK"/>
        </w:rPr>
        <w:t xml:space="preserve"> to monitored procedures will </w:t>
      </w:r>
      <w:r w:rsidR="00F70791">
        <w:rPr>
          <w:rFonts w:cstheme="minorHAnsi"/>
          <w:color w:val="333333"/>
          <w:lang w:val="en-GB" w:eastAsia="da-DK"/>
        </w:rPr>
        <w:t xml:space="preserve">both </w:t>
      </w:r>
      <w:r>
        <w:rPr>
          <w:rFonts w:cstheme="minorHAnsi"/>
          <w:color w:val="333333"/>
          <w:lang w:val="en-GB" w:eastAsia="da-DK"/>
        </w:rPr>
        <w:t xml:space="preserve">promote stakeholder engagement and help to ensure their compliance with models of good WIL practice. </w:t>
      </w:r>
    </w:p>
    <w:p w14:paraId="3DB997F5" w14:textId="542DB817" w:rsidR="00F24C67" w:rsidRPr="00032814" w:rsidRDefault="00F24C67" w:rsidP="00F24C67">
      <w:pPr>
        <w:pStyle w:val="ListParagraph"/>
        <w:numPr>
          <w:ilvl w:val="0"/>
          <w:numId w:val="10"/>
        </w:numPr>
        <w:spacing w:after="0" w:line="276" w:lineRule="auto"/>
        <w:rPr>
          <w:rFonts w:cstheme="minorHAnsi"/>
          <w:color w:val="333333"/>
          <w:lang w:val="en-GB" w:eastAsia="da-DK"/>
        </w:rPr>
      </w:pPr>
      <w:r w:rsidRPr="00032814">
        <w:rPr>
          <w:rFonts w:ascii="Calibri" w:hAnsi="Calibri" w:cs="Calibri"/>
          <w:color w:val="333333"/>
          <w:lang w:val="en-GB" w:eastAsia="da-DK"/>
        </w:rPr>
        <w:t>The guidelines show a national agency</w:t>
      </w:r>
      <w:r w:rsidR="00032814" w:rsidRPr="00032814">
        <w:rPr>
          <w:rFonts w:ascii="Calibri" w:hAnsi="Calibri" w:cs="Calibri"/>
          <w:color w:val="333333"/>
          <w:lang w:val="en-GB" w:eastAsia="da-DK"/>
        </w:rPr>
        <w:t xml:space="preserve"> (NTA)</w:t>
      </w:r>
      <w:r w:rsidRPr="00032814">
        <w:rPr>
          <w:rFonts w:ascii="Calibri" w:hAnsi="Calibri" w:cs="Calibri"/>
          <w:color w:val="333333"/>
          <w:lang w:val="en-GB" w:eastAsia="da-DK"/>
        </w:rPr>
        <w:t xml:space="preserve"> taking clear ownership and leadership of W</w:t>
      </w:r>
      <w:r w:rsidR="00032814" w:rsidRPr="00032814">
        <w:rPr>
          <w:rFonts w:ascii="Calibri" w:hAnsi="Calibri" w:cs="Calibri"/>
          <w:color w:val="333333"/>
          <w:lang w:val="en-GB" w:eastAsia="da-DK"/>
        </w:rPr>
        <w:t>IL</w:t>
      </w:r>
      <w:r w:rsidRPr="00032814">
        <w:rPr>
          <w:rFonts w:ascii="Calibri" w:hAnsi="Calibri" w:cs="Calibri"/>
          <w:color w:val="333333"/>
          <w:lang w:val="en-GB" w:eastAsia="da-DK"/>
        </w:rPr>
        <w:t xml:space="preserve"> policy and practice. Although the guidelines</w:t>
      </w:r>
      <w:r w:rsidR="00032814" w:rsidRPr="00032814">
        <w:rPr>
          <w:rFonts w:ascii="Calibri" w:hAnsi="Calibri" w:cs="Calibri"/>
          <w:color w:val="333333"/>
          <w:lang w:val="en-GB" w:eastAsia="da-DK"/>
        </w:rPr>
        <w:t xml:space="preserve"> borrow from</w:t>
      </w:r>
      <w:r w:rsidRPr="00032814">
        <w:rPr>
          <w:rFonts w:ascii="Calibri" w:hAnsi="Calibri" w:cs="Calibri"/>
          <w:color w:val="333333"/>
          <w:lang w:val="en-GB" w:eastAsia="da-DK"/>
        </w:rPr>
        <w:t xml:space="preserve"> international TVET concepts</w:t>
      </w:r>
      <w:r w:rsidR="00F70791">
        <w:rPr>
          <w:rFonts w:ascii="Calibri" w:hAnsi="Calibri" w:cs="Calibri"/>
          <w:color w:val="333333"/>
          <w:lang w:val="en-GB" w:eastAsia="da-DK"/>
        </w:rPr>
        <w:t>, the initiative</w:t>
      </w:r>
      <w:r w:rsidRPr="00032814">
        <w:rPr>
          <w:rFonts w:ascii="Calibri" w:hAnsi="Calibri" w:cs="Calibri"/>
          <w:color w:val="333333"/>
          <w:lang w:val="en-GB" w:eastAsia="da-DK"/>
        </w:rPr>
        <w:t xml:space="preserve"> has distinct </w:t>
      </w:r>
      <w:r w:rsidR="00032814" w:rsidRPr="00032814">
        <w:rPr>
          <w:rFonts w:ascii="Calibri" w:hAnsi="Calibri" w:cs="Calibri"/>
          <w:color w:val="333333"/>
          <w:lang w:val="en-GB" w:eastAsia="da-DK"/>
        </w:rPr>
        <w:t>Namibian</w:t>
      </w:r>
      <w:r w:rsidRPr="00032814">
        <w:rPr>
          <w:rFonts w:ascii="Calibri" w:hAnsi="Calibri" w:cs="Calibri"/>
          <w:color w:val="333333"/>
          <w:lang w:val="en-GB" w:eastAsia="da-DK"/>
        </w:rPr>
        <w:t xml:space="preserve"> feature</w:t>
      </w:r>
      <w:r w:rsidR="00032814" w:rsidRPr="00032814">
        <w:rPr>
          <w:rFonts w:ascii="Calibri" w:hAnsi="Calibri" w:cs="Calibri"/>
          <w:color w:val="333333"/>
          <w:lang w:val="en-GB" w:eastAsia="da-DK"/>
        </w:rPr>
        <w:t>s and focus</w:t>
      </w:r>
      <w:r w:rsidR="00984FD1">
        <w:rPr>
          <w:rFonts w:ascii="Calibri" w:hAnsi="Calibri" w:cs="Calibri"/>
          <w:color w:val="333333"/>
          <w:lang w:val="en-GB" w:eastAsia="da-DK"/>
        </w:rPr>
        <w:t>, which should facilitate commitment and engagement</w:t>
      </w:r>
      <w:r w:rsidR="00E37A12">
        <w:rPr>
          <w:rFonts w:ascii="Calibri" w:hAnsi="Calibri" w:cs="Calibri"/>
          <w:color w:val="333333"/>
          <w:lang w:val="en-GB" w:eastAsia="da-DK"/>
        </w:rPr>
        <w:t xml:space="preserve"> from different stakeholders.</w:t>
      </w:r>
    </w:p>
    <w:p w14:paraId="24FED1A2" w14:textId="1C8EBFEF" w:rsidR="00032814" w:rsidRPr="00032814" w:rsidRDefault="00032814" w:rsidP="00F24C67">
      <w:pPr>
        <w:pStyle w:val="ListParagraph"/>
        <w:numPr>
          <w:ilvl w:val="0"/>
          <w:numId w:val="10"/>
        </w:numPr>
        <w:spacing w:after="0" w:line="276" w:lineRule="auto"/>
        <w:rPr>
          <w:rFonts w:cstheme="minorHAnsi"/>
          <w:color w:val="333333"/>
          <w:lang w:val="en-GB" w:eastAsia="da-DK"/>
        </w:rPr>
      </w:pPr>
      <w:r>
        <w:rPr>
          <w:rFonts w:ascii="Calibri" w:hAnsi="Calibri" w:cs="Calibri"/>
          <w:color w:val="333333"/>
          <w:lang w:val="en-GB" w:eastAsia="da-DK"/>
        </w:rPr>
        <w:t>The guidelines are clearly aligned with identified needs in terms of</w:t>
      </w:r>
      <w:r w:rsidR="00F70791">
        <w:rPr>
          <w:rFonts w:ascii="Calibri" w:hAnsi="Calibri" w:cs="Calibri"/>
          <w:color w:val="333333"/>
          <w:lang w:val="en-GB" w:eastAsia="da-DK"/>
        </w:rPr>
        <w:t xml:space="preserve"> increased</w:t>
      </w:r>
      <w:r>
        <w:rPr>
          <w:rFonts w:ascii="Calibri" w:hAnsi="Calibri" w:cs="Calibri"/>
          <w:color w:val="333333"/>
          <w:lang w:val="en-GB" w:eastAsia="da-DK"/>
        </w:rPr>
        <w:t xml:space="preserve"> job placements, relevance</w:t>
      </w:r>
      <w:r w:rsidR="00F70791">
        <w:rPr>
          <w:rFonts w:ascii="Calibri" w:hAnsi="Calibri" w:cs="Calibri"/>
          <w:color w:val="333333"/>
          <w:lang w:val="en-GB" w:eastAsia="da-DK"/>
        </w:rPr>
        <w:t xml:space="preserve"> and credibility</w:t>
      </w:r>
      <w:r w:rsidR="00756C00">
        <w:rPr>
          <w:rFonts w:ascii="Calibri" w:hAnsi="Calibri" w:cs="Calibri"/>
          <w:color w:val="333333"/>
          <w:lang w:val="en-GB" w:eastAsia="da-DK"/>
        </w:rPr>
        <w:t xml:space="preserve">, </w:t>
      </w:r>
      <w:r w:rsidR="00F70791">
        <w:rPr>
          <w:rFonts w:ascii="Calibri" w:hAnsi="Calibri" w:cs="Calibri"/>
          <w:color w:val="333333"/>
          <w:lang w:val="en-GB" w:eastAsia="da-DK"/>
        </w:rPr>
        <w:t xml:space="preserve">quality, </w:t>
      </w:r>
      <w:r w:rsidR="00756C00">
        <w:rPr>
          <w:rFonts w:ascii="Calibri" w:hAnsi="Calibri" w:cs="Calibri"/>
          <w:color w:val="333333"/>
          <w:lang w:val="en-GB" w:eastAsia="da-DK"/>
        </w:rPr>
        <w:t>stakeholder collaboration</w:t>
      </w:r>
      <w:r>
        <w:rPr>
          <w:rFonts w:ascii="Calibri" w:hAnsi="Calibri" w:cs="Calibri"/>
          <w:color w:val="333333"/>
          <w:lang w:val="en-GB" w:eastAsia="da-DK"/>
        </w:rPr>
        <w:t xml:space="preserve"> and employer engagement. </w:t>
      </w:r>
      <w:r w:rsidR="00F70791">
        <w:rPr>
          <w:rFonts w:ascii="Calibri" w:hAnsi="Calibri" w:cs="Calibri"/>
          <w:color w:val="333333"/>
          <w:lang w:val="en-GB" w:eastAsia="da-DK"/>
        </w:rPr>
        <w:t>In this regard, t</w:t>
      </w:r>
      <w:r>
        <w:rPr>
          <w:rFonts w:ascii="Calibri" w:hAnsi="Calibri" w:cs="Calibri"/>
          <w:color w:val="333333"/>
          <w:lang w:val="en-GB" w:eastAsia="da-DK"/>
        </w:rPr>
        <w:t xml:space="preserve">hey can be seen as an innovative approach to the operationalisation of GoN strategic objectives. </w:t>
      </w:r>
    </w:p>
    <w:p w14:paraId="06D74CCE" w14:textId="44E27E00" w:rsidR="00032814" w:rsidRPr="00756C00" w:rsidRDefault="00032814" w:rsidP="00F24C67">
      <w:pPr>
        <w:pStyle w:val="ListParagraph"/>
        <w:numPr>
          <w:ilvl w:val="0"/>
          <w:numId w:val="10"/>
        </w:numPr>
        <w:spacing w:after="0" w:line="276" w:lineRule="auto"/>
        <w:rPr>
          <w:rFonts w:cstheme="minorHAnsi"/>
          <w:color w:val="333333"/>
          <w:lang w:val="en-GB" w:eastAsia="da-DK"/>
        </w:rPr>
      </w:pPr>
      <w:r>
        <w:rPr>
          <w:rFonts w:ascii="Calibri" w:hAnsi="Calibri" w:cs="Calibri"/>
          <w:color w:val="333333"/>
          <w:lang w:val="en-GB" w:eastAsia="da-DK"/>
        </w:rPr>
        <w:t xml:space="preserve">The combination of procedures and funding will provide a strong foundation and structure to support the involvement of SMEs and Micro businesses in WIL. The </w:t>
      </w:r>
      <w:r w:rsidR="00F70791">
        <w:rPr>
          <w:rFonts w:ascii="Calibri" w:hAnsi="Calibri" w:cs="Calibri"/>
          <w:color w:val="333333"/>
          <w:lang w:val="en-GB" w:eastAsia="da-DK"/>
        </w:rPr>
        <w:t>limiting</w:t>
      </w:r>
      <w:r w:rsidR="00756C00">
        <w:rPr>
          <w:rFonts w:ascii="Calibri" w:hAnsi="Calibri" w:cs="Calibri"/>
          <w:color w:val="333333"/>
          <w:lang w:val="en-GB" w:eastAsia="da-DK"/>
        </w:rPr>
        <w:t xml:space="preserve"> of</w:t>
      </w:r>
      <w:r w:rsidR="00F70791">
        <w:rPr>
          <w:rFonts w:ascii="Calibri" w:hAnsi="Calibri" w:cs="Calibri"/>
          <w:color w:val="333333"/>
          <w:lang w:val="en-GB" w:eastAsia="da-DK"/>
        </w:rPr>
        <w:t xml:space="preserve"> the number of</w:t>
      </w:r>
      <w:r w:rsidR="00756C00">
        <w:rPr>
          <w:rFonts w:ascii="Calibri" w:hAnsi="Calibri" w:cs="Calibri"/>
          <w:color w:val="333333"/>
          <w:lang w:val="en-GB" w:eastAsia="da-DK"/>
        </w:rPr>
        <w:t xml:space="preserve"> apprentices to the size of business will also provide a guide to</w:t>
      </w:r>
      <w:r w:rsidR="00B119C2">
        <w:rPr>
          <w:rFonts w:ascii="Calibri" w:hAnsi="Calibri" w:cs="Calibri"/>
          <w:color w:val="333333"/>
          <w:lang w:val="en-GB" w:eastAsia="da-DK"/>
        </w:rPr>
        <w:t xml:space="preserve"> an appropriate</w:t>
      </w:r>
      <w:r w:rsidR="00756C00">
        <w:rPr>
          <w:rFonts w:ascii="Calibri" w:hAnsi="Calibri" w:cs="Calibri"/>
          <w:color w:val="333333"/>
          <w:lang w:val="en-GB" w:eastAsia="da-DK"/>
        </w:rPr>
        <w:t xml:space="preserve"> level of engagement and mitigate risks of smaller businesses over extending their involvement. </w:t>
      </w:r>
    </w:p>
    <w:p w14:paraId="309E8BD8" w14:textId="52C80E59" w:rsidR="00756C00" w:rsidRPr="00756C00" w:rsidRDefault="00756C00" w:rsidP="00F24C67">
      <w:pPr>
        <w:pStyle w:val="ListParagraph"/>
        <w:numPr>
          <w:ilvl w:val="0"/>
          <w:numId w:val="10"/>
        </w:numPr>
        <w:spacing w:after="0" w:line="276" w:lineRule="auto"/>
        <w:rPr>
          <w:rFonts w:cstheme="minorHAnsi"/>
          <w:color w:val="333333"/>
          <w:lang w:val="en-GB" w:eastAsia="da-DK"/>
        </w:rPr>
      </w:pPr>
      <w:r>
        <w:rPr>
          <w:rFonts w:ascii="Calibri" w:hAnsi="Calibri" w:cs="Calibri"/>
          <w:color w:val="333333"/>
          <w:lang w:val="en-GB" w:eastAsia="da-DK"/>
        </w:rPr>
        <w:t xml:space="preserve">The guidelines provide a framework for stakeholders (NTA, employers, TVETPs) to collaborate in the delivery of effective WIL, mitigating current challenges with adhoc and fragmented delivery. </w:t>
      </w:r>
    </w:p>
    <w:p w14:paraId="5FDB4FE9" w14:textId="5A2F3A27" w:rsidR="00756C00" w:rsidRPr="00F90E0B" w:rsidRDefault="00756C00" w:rsidP="00F24C67">
      <w:pPr>
        <w:pStyle w:val="ListParagraph"/>
        <w:numPr>
          <w:ilvl w:val="0"/>
          <w:numId w:val="10"/>
        </w:numPr>
        <w:spacing w:after="0" w:line="276" w:lineRule="auto"/>
        <w:rPr>
          <w:rFonts w:cstheme="minorHAnsi"/>
          <w:color w:val="333333"/>
          <w:lang w:val="en-GB" w:eastAsia="da-DK"/>
        </w:rPr>
      </w:pPr>
      <w:r>
        <w:rPr>
          <w:rFonts w:ascii="Calibri" w:hAnsi="Calibri" w:cs="Calibri"/>
          <w:color w:val="333333"/>
          <w:lang w:val="en-GB" w:eastAsia="da-DK"/>
        </w:rPr>
        <w:t>The initiative has been developed on a consultative approach and tested through the effective use of pilots</w:t>
      </w:r>
      <w:r w:rsidR="00F90E0B">
        <w:rPr>
          <w:rFonts w:ascii="Calibri" w:hAnsi="Calibri" w:cs="Calibri"/>
          <w:color w:val="333333"/>
          <w:lang w:val="en-GB" w:eastAsia="da-DK"/>
        </w:rPr>
        <w:t>.</w:t>
      </w:r>
    </w:p>
    <w:p w14:paraId="60D6D8D6" w14:textId="1654A632" w:rsidR="00F90E0B" w:rsidRPr="00F90E0B" w:rsidRDefault="00F90E0B" w:rsidP="00F24C67">
      <w:pPr>
        <w:pStyle w:val="ListParagraph"/>
        <w:numPr>
          <w:ilvl w:val="0"/>
          <w:numId w:val="10"/>
        </w:numPr>
        <w:spacing w:after="0" w:line="276" w:lineRule="auto"/>
        <w:rPr>
          <w:rFonts w:cstheme="minorHAnsi"/>
          <w:color w:val="333333"/>
          <w:lang w:val="en-GB" w:eastAsia="da-DK"/>
        </w:rPr>
      </w:pPr>
      <w:r>
        <w:rPr>
          <w:rFonts w:ascii="Calibri" w:hAnsi="Calibri" w:cs="Calibri"/>
          <w:color w:val="333333"/>
          <w:lang w:val="en-GB" w:eastAsia="da-DK"/>
        </w:rPr>
        <w:t xml:space="preserve">The guidelines clearly define what is meant by an apprenticeship, including referencing payment and contracts (agreement) between key stakeholders. The defining of apprenticeships, linked to funding, will help to embed a shared understanding of quality WIL models and responsibilities. The setting of a minimum </w:t>
      </w:r>
      <w:r w:rsidR="00D0002D">
        <w:rPr>
          <w:rFonts w:ascii="Calibri" w:hAnsi="Calibri" w:cs="Calibri"/>
          <w:color w:val="333333"/>
          <w:lang w:val="en-GB" w:eastAsia="da-DK"/>
        </w:rPr>
        <w:t>three-year</w:t>
      </w:r>
      <w:r>
        <w:rPr>
          <w:rFonts w:ascii="Calibri" w:hAnsi="Calibri" w:cs="Calibri"/>
          <w:color w:val="333333"/>
          <w:lang w:val="en-GB" w:eastAsia="da-DK"/>
        </w:rPr>
        <w:t xml:space="preserve"> period for an apprenticeship will also ensure that they are viewed as a long term and significant programme and qualification. </w:t>
      </w:r>
    </w:p>
    <w:p w14:paraId="462D0B18" w14:textId="7E66C86A" w:rsidR="00D0002D" w:rsidRPr="00984FD1" w:rsidRDefault="00F90E0B" w:rsidP="00984FD1">
      <w:pPr>
        <w:pStyle w:val="ListParagraph"/>
        <w:numPr>
          <w:ilvl w:val="0"/>
          <w:numId w:val="10"/>
        </w:numPr>
        <w:spacing w:after="0" w:line="276" w:lineRule="auto"/>
        <w:rPr>
          <w:rFonts w:cstheme="minorHAnsi"/>
          <w:color w:val="333333"/>
          <w:lang w:val="en-GB" w:eastAsia="da-DK"/>
        </w:rPr>
      </w:pPr>
      <w:r>
        <w:rPr>
          <w:rFonts w:ascii="Calibri" w:hAnsi="Calibri" w:cs="Calibri"/>
          <w:color w:val="333333"/>
          <w:lang w:val="en-GB" w:eastAsia="da-DK"/>
        </w:rPr>
        <w:t xml:space="preserve">The linking of apprenticeships and WIL to NQF qualifications will help to address issues with pathways between TVET outcomes and general education. It will also help to promote a parity of esteem between WIL and general education. The mapping of apprenticeships to </w:t>
      </w:r>
      <w:r w:rsidR="00D0002D">
        <w:rPr>
          <w:rFonts w:ascii="Calibri" w:hAnsi="Calibri" w:cs="Calibri"/>
          <w:color w:val="333333"/>
          <w:lang w:val="en-GB" w:eastAsia="da-DK"/>
        </w:rPr>
        <w:t xml:space="preserve">NQF L4 will also address current gaps at this level for TVET qualifications and allow for progression to Higher VET. </w:t>
      </w:r>
      <w:r w:rsidR="00D0002D" w:rsidRPr="00984FD1">
        <w:rPr>
          <w:rFonts w:ascii="Calibri" w:hAnsi="Calibri" w:cs="Calibri"/>
          <w:color w:val="333333"/>
          <w:lang w:val="en-GB" w:eastAsia="da-DK"/>
        </w:rPr>
        <w:t xml:space="preserve">The guidelines include funding opportunities and procedural dispensation to promote the embedding of </w:t>
      </w:r>
      <w:r w:rsidR="00984FD1" w:rsidRPr="00984FD1">
        <w:rPr>
          <w:rFonts w:ascii="Calibri" w:hAnsi="Calibri" w:cs="Calibri"/>
          <w:color w:val="333333"/>
          <w:lang w:val="en-GB" w:eastAsia="da-DK"/>
        </w:rPr>
        <w:t xml:space="preserve">Gender Equality and Social Inclusion </w:t>
      </w:r>
      <w:r w:rsidR="00D0002D" w:rsidRPr="00984FD1">
        <w:rPr>
          <w:rFonts w:ascii="Calibri" w:hAnsi="Calibri" w:cs="Calibri"/>
          <w:color w:val="333333"/>
          <w:lang w:val="en-GB" w:eastAsia="da-DK"/>
        </w:rPr>
        <w:t xml:space="preserve">values in Namibia’s apprenticeship model. However, this seems to be on a ‘voluntary’ basis and it appears a missed opportunity not to have included more mandatory inclusion targets in the guidelines. </w:t>
      </w:r>
    </w:p>
    <w:p w14:paraId="14075691" w14:textId="4F3AEB67" w:rsidR="00F24C67" w:rsidRPr="00B22B17" w:rsidRDefault="006A16B6" w:rsidP="00E16555">
      <w:pPr>
        <w:pStyle w:val="ListParagraph"/>
        <w:numPr>
          <w:ilvl w:val="0"/>
          <w:numId w:val="10"/>
        </w:numPr>
        <w:spacing w:after="0" w:line="276" w:lineRule="auto"/>
        <w:rPr>
          <w:rFonts w:cstheme="minorHAnsi"/>
          <w:color w:val="333333"/>
          <w:lang w:val="en-GB" w:eastAsia="da-DK"/>
        </w:rPr>
      </w:pPr>
      <w:r w:rsidRPr="00B22B17">
        <w:rPr>
          <w:rFonts w:ascii="Calibri" w:hAnsi="Calibri" w:cs="Calibri"/>
          <w:color w:val="333333"/>
          <w:lang w:val="en-GB" w:eastAsia="da-DK"/>
        </w:rPr>
        <w:t xml:space="preserve">Innovative use of funding that is linked to quality assurance monitoring and apprentices’ outcomes, including using key metrics to measure enrolment, retention, progress, achievement and employability. The minimum apprenticeship grant will also support retention and achievement. </w:t>
      </w:r>
      <w:r w:rsidR="00B22B17" w:rsidRPr="00B22B17">
        <w:rPr>
          <w:rFonts w:ascii="Calibri" w:hAnsi="Calibri" w:cs="Calibri"/>
          <w:color w:val="333333"/>
          <w:lang w:val="en-GB" w:eastAsia="da-DK"/>
        </w:rPr>
        <w:t xml:space="preserve">The use of staged funding also provides a tool through which the guidelines can be enforced. </w:t>
      </w:r>
    </w:p>
    <w:p w14:paraId="435B351E" w14:textId="0DB0AA50" w:rsidR="00F24C67" w:rsidRPr="00B22B17" w:rsidRDefault="00F24C67" w:rsidP="00B22B17">
      <w:pPr>
        <w:pStyle w:val="ListParagraph"/>
        <w:numPr>
          <w:ilvl w:val="0"/>
          <w:numId w:val="10"/>
        </w:numPr>
        <w:spacing w:after="0" w:line="276" w:lineRule="auto"/>
        <w:rPr>
          <w:rFonts w:cstheme="minorHAnsi"/>
          <w:color w:val="333333"/>
          <w:lang w:val="en-GB" w:eastAsia="da-DK"/>
        </w:rPr>
      </w:pPr>
      <w:r w:rsidRPr="00B22B17">
        <w:rPr>
          <w:rFonts w:ascii="Calibri" w:hAnsi="Calibri" w:cs="Calibri"/>
          <w:color w:val="333333"/>
          <w:lang w:val="en-GB" w:eastAsia="da-DK"/>
        </w:rPr>
        <w:t xml:space="preserve">The guidelines provide an excellent example of how policy can be translated into practice. This process is now being further progressed through the development of </w:t>
      </w:r>
      <w:r w:rsidR="00E16555" w:rsidRPr="00B22B17">
        <w:rPr>
          <w:rFonts w:ascii="Calibri" w:hAnsi="Calibri" w:cs="Calibri"/>
          <w:color w:val="333333"/>
          <w:lang w:val="en-GB" w:eastAsia="da-DK"/>
        </w:rPr>
        <w:t xml:space="preserve">NTA developed </w:t>
      </w:r>
      <w:r w:rsidRPr="00B22B17">
        <w:rPr>
          <w:rFonts w:ascii="Calibri" w:hAnsi="Calibri" w:cs="Calibri"/>
          <w:color w:val="333333"/>
          <w:lang w:val="en-GB" w:eastAsia="da-DK"/>
        </w:rPr>
        <w:t>operational manuals aligned with the guidelines.</w:t>
      </w:r>
    </w:p>
    <w:p w14:paraId="1D119C70" w14:textId="1C17F1DE" w:rsidR="00F24C67" w:rsidRPr="00B119C2" w:rsidRDefault="00F24C67" w:rsidP="00F24C67">
      <w:pPr>
        <w:pStyle w:val="ListParagraph"/>
        <w:numPr>
          <w:ilvl w:val="0"/>
          <w:numId w:val="10"/>
        </w:numPr>
        <w:spacing w:after="0" w:line="276" w:lineRule="auto"/>
        <w:rPr>
          <w:rFonts w:cstheme="minorHAnsi"/>
          <w:color w:val="333333"/>
          <w:lang w:val="en-GB" w:eastAsia="da-DK"/>
        </w:rPr>
      </w:pPr>
      <w:r w:rsidRPr="00B22B17">
        <w:rPr>
          <w:rFonts w:cstheme="minorHAnsi"/>
          <w:lang w:val="en-GB"/>
        </w:rPr>
        <w:t>The guidelines start to establish basic incentives and conditions for W</w:t>
      </w:r>
      <w:r w:rsidR="00B22B17" w:rsidRPr="00B22B17">
        <w:rPr>
          <w:rFonts w:cstheme="minorHAnsi"/>
          <w:lang w:val="en-GB"/>
        </w:rPr>
        <w:t>IL</w:t>
      </w:r>
      <w:r w:rsidRPr="00B22B17">
        <w:rPr>
          <w:rFonts w:cstheme="minorHAnsi"/>
          <w:lang w:val="en-GB"/>
        </w:rPr>
        <w:t>, this will start to address some of the challenges associated with non-formal/informal deliver</w:t>
      </w:r>
      <w:r w:rsidR="00B22B17" w:rsidRPr="00B22B17">
        <w:rPr>
          <w:rFonts w:cstheme="minorHAnsi"/>
          <w:lang w:val="en-GB"/>
        </w:rPr>
        <w:t xml:space="preserve">. </w:t>
      </w:r>
      <w:r w:rsidRPr="00B22B17">
        <w:rPr>
          <w:rFonts w:cstheme="minorHAnsi"/>
          <w:lang w:val="en-GB"/>
        </w:rPr>
        <w:t xml:space="preserve">The guidelines also reference </w:t>
      </w:r>
      <w:r w:rsidRPr="00B22B17">
        <w:rPr>
          <w:rFonts w:cstheme="minorHAnsi"/>
          <w:lang w:val="en-GB"/>
        </w:rPr>
        <w:lastRenderedPageBreak/>
        <w:t>working conditions, termination terms and health and safety, and trainee wellbeing</w:t>
      </w:r>
      <w:r w:rsidR="00B119C2" w:rsidRPr="00B119C2">
        <w:rPr>
          <w:rFonts w:cstheme="minorHAnsi"/>
          <w:lang w:val="en-GB"/>
        </w:rPr>
        <w:t xml:space="preserve">. This includes limiting the number of apprentices employed in higher risk roles.  </w:t>
      </w:r>
    </w:p>
    <w:p w14:paraId="1990A144" w14:textId="77777777" w:rsidR="00F24C67" w:rsidRDefault="00F24C67" w:rsidP="00F24C67">
      <w:pPr>
        <w:shd w:val="clear" w:color="auto" w:fill="FFFFFF"/>
        <w:spacing w:after="120"/>
        <w:rPr>
          <w:rFonts w:ascii="Calibri" w:hAnsi="Calibri" w:cs="Calibri"/>
          <w:b/>
          <w:bCs/>
          <w:color w:val="333333"/>
          <w:lang w:eastAsia="da-DK"/>
        </w:rPr>
      </w:pPr>
      <w:r w:rsidRPr="009E239B">
        <w:rPr>
          <w:rFonts w:ascii="Calibri" w:hAnsi="Calibri" w:cs="Calibri"/>
          <w:b/>
          <w:bCs/>
          <w:color w:val="333333"/>
          <w:lang w:eastAsia="da-DK"/>
        </w:rPr>
        <w:t>Cons</w:t>
      </w:r>
    </w:p>
    <w:p w14:paraId="52993D02" w14:textId="15E25EE4" w:rsidR="00F24C67" w:rsidRPr="00B22B17" w:rsidRDefault="00F24C67" w:rsidP="00F24C67">
      <w:pPr>
        <w:pStyle w:val="ListParagraph"/>
        <w:numPr>
          <w:ilvl w:val="0"/>
          <w:numId w:val="10"/>
        </w:numPr>
        <w:shd w:val="clear" w:color="auto" w:fill="FFFFFF"/>
        <w:spacing w:after="120" w:line="276" w:lineRule="auto"/>
        <w:rPr>
          <w:rFonts w:ascii="Calibri" w:hAnsi="Calibri" w:cs="Calibri"/>
          <w:b/>
          <w:bCs/>
          <w:color w:val="000000" w:themeColor="text1"/>
          <w:lang w:val="en-GB" w:eastAsia="da-DK"/>
        </w:rPr>
      </w:pPr>
      <w:r w:rsidRPr="00B22B17">
        <w:rPr>
          <w:rFonts w:ascii="Calibri" w:hAnsi="Calibri" w:cs="Calibri"/>
          <w:color w:val="000000" w:themeColor="text1"/>
          <w:lang w:val="en-GB" w:eastAsia="da-DK"/>
        </w:rPr>
        <w:t>The guidelines set out clear roles and responsibilities for the delivery for W</w:t>
      </w:r>
      <w:r w:rsidR="00B22B17" w:rsidRPr="00B22B17">
        <w:rPr>
          <w:rFonts w:ascii="Calibri" w:hAnsi="Calibri" w:cs="Calibri"/>
          <w:color w:val="000000" w:themeColor="text1"/>
          <w:lang w:val="en-GB" w:eastAsia="da-DK"/>
        </w:rPr>
        <w:t>IL</w:t>
      </w:r>
      <w:r w:rsidRPr="00B22B17">
        <w:rPr>
          <w:rFonts w:ascii="Calibri" w:hAnsi="Calibri" w:cs="Calibri"/>
          <w:color w:val="000000" w:themeColor="text1"/>
          <w:lang w:val="en-GB" w:eastAsia="da-DK"/>
        </w:rPr>
        <w:t xml:space="preserve">, however, there </w:t>
      </w:r>
      <w:r w:rsidR="009106C8">
        <w:rPr>
          <w:rFonts w:ascii="Calibri" w:hAnsi="Calibri" w:cs="Calibri"/>
          <w:color w:val="000000" w:themeColor="text1"/>
          <w:lang w:val="en-GB" w:eastAsia="da-DK"/>
        </w:rPr>
        <w:t xml:space="preserve">is </w:t>
      </w:r>
      <w:r w:rsidRPr="00B22B17">
        <w:rPr>
          <w:rFonts w:ascii="Calibri" w:hAnsi="Calibri" w:cs="Calibri"/>
          <w:color w:val="000000" w:themeColor="text1"/>
          <w:lang w:val="en-GB" w:eastAsia="da-DK"/>
        </w:rPr>
        <w:t xml:space="preserve">a risk that some stakeholders will need further development for them to fulfil their allocated roles. </w:t>
      </w:r>
      <w:r w:rsidR="009106C8">
        <w:rPr>
          <w:rFonts w:ascii="Calibri" w:hAnsi="Calibri" w:cs="Calibri"/>
          <w:color w:val="000000" w:themeColor="text1"/>
          <w:lang w:val="en-GB" w:eastAsia="da-DK"/>
        </w:rPr>
        <w:t xml:space="preserve">Although stakeholders will look to follow the procedures, if only to meet funding requirements, there could be a big jump from current practice. </w:t>
      </w:r>
      <w:r w:rsidRPr="00B22B17">
        <w:rPr>
          <w:rFonts w:ascii="Calibri" w:hAnsi="Calibri" w:cs="Calibri"/>
          <w:color w:val="000000" w:themeColor="text1"/>
          <w:lang w:val="en-GB" w:eastAsia="da-DK"/>
        </w:rPr>
        <w:t xml:space="preserve">For example, will </w:t>
      </w:r>
      <w:r w:rsidR="00B22B17" w:rsidRPr="00B22B17">
        <w:rPr>
          <w:rFonts w:ascii="Calibri" w:hAnsi="Calibri" w:cs="Calibri"/>
          <w:color w:val="000000" w:themeColor="text1"/>
          <w:lang w:val="en-GB" w:eastAsia="da-DK"/>
        </w:rPr>
        <w:t>TVET-and</w:t>
      </w:r>
      <w:r w:rsidRPr="00B22B17">
        <w:rPr>
          <w:rFonts w:ascii="Calibri" w:hAnsi="Calibri" w:cs="Calibri"/>
          <w:color w:val="000000" w:themeColor="text1"/>
          <w:lang w:val="en-GB" w:eastAsia="da-DK"/>
        </w:rPr>
        <w:t xml:space="preserve"> employer </w:t>
      </w:r>
      <w:r w:rsidR="00B22B17" w:rsidRPr="00B22B17">
        <w:rPr>
          <w:rFonts w:ascii="Calibri" w:hAnsi="Calibri" w:cs="Calibri"/>
          <w:color w:val="000000" w:themeColor="text1"/>
          <w:lang w:val="en-GB" w:eastAsia="da-DK"/>
        </w:rPr>
        <w:t>mentors</w:t>
      </w:r>
      <w:r w:rsidRPr="00B22B17">
        <w:rPr>
          <w:rFonts w:ascii="Calibri" w:hAnsi="Calibri" w:cs="Calibri"/>
          <w:color w:val="000000" w:themeColor="text1"/>
          <w:lang w:val="en-GB" w:eastAsia="da-DK"/>
        </w:rPr>
        <w:t xml:space="preserve"> have the capacity to develop, deliver, monitor and assess apprenticeship programmes, as </w:t>
      </w:r>
      <w:r w:rsidR="009106C8">
        <w:rPr>
          <w:rFonts w:ascii="Calibri" w:hAnsi="Calibri" w:cs="Calibri"/>
          <w:color w:val="000000" w:themeColor="text1"/>
          <w:lang w:val="en-GB" w:eastAsia="da-DK"/>
        </w:rPr>
        <w:t xml:space="preserve">described </w:t>
      </w:r>
      <w:r w:rsidRPr="00B22B17">
        <w:rPr>
          <w:rFonts w:ascii="Calibri" w:hAnsi="Calibri" w:cs="Calibri"/>
          <w:color w:val="000000" w:themeColor="text1"/>
          <w:lang w:val="en-GB" w:eastAsia="da-DK"/>
        </w:rPr>
        <w:t xml:space="preserve">in the guidelines. However, the </w:t>
      </w:r>
      <w:r w:rsidR="009106C8">
        <w:rPr>
          <w:rFonts w:ascii="Calibri" w:hAnsi="Calibri" w:cs="Calibri"/>
          <w:color w:val="000000" w:themeColor="text1"/>
          <w:lang w:val="en-GB" w:eastAsia="da-DK"/>
        </w:rPr>
        <w:t>defining of</w:t>
      </w:r>
      <w:r w:rsidRPr="00B22B17">
        <w:rPr>
          <w:rFonts w:ascii="Calibri" w:hAnsi="Calibri" w:cs="Calibri"/>
          <w:color w:val="000000" w:themeColor="text1"/>
          <w:lang w:val="en-GB" w:eastAsia="da-DK"/>
        </w:rPr>
        <w:t xml:space="preserve"> </w:t>
      </w:r>
      <w:r w:rsidR="009106C8">
        <w:rPr>
          <w:rFonts w:ascii="Calibri" w:hAnsi="Calibri" w:cs="Calibri"/>
          <w:color w:val="000000" w:themeColor="text1"/>
          <w:lang w:val="en-GB" w:eastAsia="da-DK"/>
        </w:rPr>
        <w:t xml:space="preserve">apprenticeship </w:t>
      </w:r>
      <w:r w:rsidRPr="00B22B17">
        <w:rPr>
          <w:rFonts w:ascii="Calibri" w:hAnsi="Calibri" w:cs="Calibri"/>
          <w:color w:val="000000" w:themeColor="text1"/>
          <w:lang w:val="en-GB" w:eastAsia="da-DK"/>
        </w:rPr>
        <w:t>roles will provide an excellent focus for additional capacity building activities</w:t>
      </w:r>
      <w:r w:rsidR="00B22B17" w:rsidRPr="00B22B17">
        <w:rPr>
          <w:rFonts w:ascii="Calibri" w:hAnsi="Calibri" w:cs="Calibri"/>
          <w:color w:val="000000" w:themeColor="text1"/>
          <w:lang w:val="en-GB" w:eastAsia="da-DK"/>
        </w:rPr>
        <w:t>, which have already been initiated through the NTA employer mentor induction</w:t>
      </w:r>
      <w:r w:rsidR="009106C8">
        <w:rPr>
          <w:rFonts w:ascii="Calibri" w:hAnsi="Calibri" w:cs="Calibri"/>
          <w:color w:val="000000" w:themeColor="text1"/>
          <w:lang w:val="en-GB" w:eastAsia="da-DK"/>
        </w:rPr>
        <w:t xml:space="preserve">. </w:t>
      </w:r>
    </w:p>
    <w:p w14:paraId="2A65B217" w14:textId="4823931A" w:rsidR="00F24C67" w:rsidRPr="00E37A12" w:rsidRDefault="00F24C67" w:rsidP="00F24C67">
      <w:pPr>
        <w:pStyle w:val="ListParagraph"/>
        <w:numPr>
          <w:ilvl w:val="0"/>
          <w:numId w:val="10"/>
        </w:numPr>
        <w:shd w:val="clear" w:color="auto" w:fill="FFFFFF"/>
        <w:spacing w:after="120" w:line="276" w:lineRule="auto"/>
        <w:rPr>
          <w:rFonts w:ascii="Calibri" w:hAnsi="Calibri" w:cs="Calibri"/>
          <w:b/>
          <w:bCs/>
          <w:color w:val="000000" w:themeColor="text1"/>
          <w:lang w:val="en-GB" w:eastAsia="da-DK"/>
        </w:rPr>
      </w:pPr>
      <w:r w:rsidRPr="00B22B17">
        <w:rPr>
          <w:rFonts w:ascii="Calibri" w:hAnsi="Calibri" w:cs="Calibri"/>
          <w:color w:val="000000" w:themeColor="text1"/>
          <w:lang w:val="en-GB" w:eastAsia="da-DK"/>
        </w:rPr>
        <w:t xml:space="preserve">It would be valuable to have further information on how the implementation and impact of the guidelines will be monitored and measured. </w:t>
      </w:r>
    </w:p>
    <w:p w14:paraId="17CF2B62" w14:textId="312CA403" w:rsidR="00E37A12" w:rsidRPr="00E37A12" w:rsidRDefault="00E37A12" w:rsidP="00F24C67">
      <w:pPr>
        <w:pStyle w:val="ListParagraph"/>
        <w:numPr>
          <w:ilvl w:val="0"/>
          <w:numId w:val="10"/>
        </w:numPr>
        <w:shd w:val="clear" w:color="auto" w:fill="FFFFFF"/>
        <w:spacing w:after="120" w:line="276" w:lineRule="auto"/>
        <w:rPr>
          <w:rFonts w:ascii="Calibri" w:hAnsi="Calibri" w:cs="Calibri"/>
          <w:b/>
          <w:bCs/>
          <w:color w:val="000000" w:themeColor="text1"/>
          <w:lang w:val="en-GB" w:eastAsia="da-DK"/>
        </w:rPr>
      </w:pPr>
      <w:r>
        <w:rPr>
          <w:rFonts w:ascii="Calibri" w:hAnsi="Calibri" w:cs="Calibri"/>
          <w:color w:val="000000" w:themeColor="text1"/>
          <w:lang w:val="en-GB" w:eastAsia="da-DK"/>
        </w:rPr>
        <w:t>The monitoring of the guidelines will require considerable NTA resource, expertise and expense. It will be essential that the NTA is appropriately funded and resourced to deliver its governance role.</w:t>
      </w:r>
    </w:p>
    <w:p w14:paraId="189CD1B9" w14:textId="69960B06" w:rsidR="00E37A12" w:rsidRPr="00E37A12" w:rsidRDefault="00E37A12" w:rsidP="00F24C67">
      <w:pPr>
        <w:pStyle w:val="ListParagraph"/>
        <w:numPr>
          <w:ilvl w:val="0"/>
          <w:numId w:val="10"/>
        </w:numPr>
        <w:shd w:val="clear" w:color="auto" w:fill="FFFFFF"/>
        <w:spacing w:after="120" w:line="276" w:lineRule="auto"/>
        <w:rPr>
          <w:rFonts w:ascii="Calibri" w:hAnsi="Calibri" w:cs="Calibri"/>
          <w:b/>
          <w:bCs/>
          <w:color w:val="000000" w:themeColor="text1"/>
          <w:lang w:val="en-GB" w:eastAsia="da-DK"/>
        </w:rPr>
      </w:pPr>
      <w:r>
        <w:rPr>
          <w:rFonts w:ascii="Calibri" w:hAnsi="Calibri" w:cs="Calibri"/>
          <w:color w:val="000000" w:themeColor="text1"/>
          <w:lang w:val="en-GB" w:eastAsia="da-DK"/>
        </w:rPr>
        <w:t>Despite the structures and funding put in place to facilitate SME input there are still challenges and issues related to their capacity to engage with WIL.</w:t>
      </w:r>
    </w:p>
    <w:p w14:paraId="3C31CA55" w14:textId="0DB4366C" w:rsidR="00E37A12" w:rsidRPr="009106C8" w:rsidRDefault="00E37A12" w:rsidP="00F24C67">
      <w:pPr>
        <w:pStyle w:val="ListParagraph"/>
        <w:numPr>
          <w:ilvl w:val="0"/>
          <w:numId w:val="10"/>
        </w:numPr>
        <w:shd w:val="clear" w:color="auto" w:fill="FFFFFF"/>
        <w:spacing w:after="120" w:line="276" w:lineRule="auto"/>
        <w:rPr>
          <w:rFonts w:ascii="Calibri" w:hAnsi="Calibri" w:cs="Calibri"/>
          <w:b/>
          <w:bCs/>
          <w:color w:val="000000" w:themeColor="text1"/>
          <w:lang w:val="en-GB" w:eastAsia="da-DK"/>
        </w:rPr>
      </w:pPr>
      <w:r>
        <w:rPr>
          <w:rFonts w:ascii="Calibri" w:hAnsi="Calibri" w:cs="Calibri"/>
          <w:color w:val="000000" w:themeColor="text1"/>
          <w:lang w:val="en-GB" w:eastAsia="da-DK"/>
        </w:rPr>
        <w:t xml:space="preserve">The initiative is levy dependent and additional advocacy activities will be required to secure a level of employer input that would make it a sustainable model. </w:t>
      </w:r>
    </w:p>
    <w:p w14:paraId="1A6DEB68" w14:textId="77777777" w:rsidR="00F24C67" w:rsidRPr="00F70791" w:rsidRDefault="00F24C67" w:rsidP="00F24C67">
      <w:pPr>
        <w:pBdr>
          <w:bottom w:val="single" w:sz="4" w:space="1" w:color="auto"/>
        </w:pBdr>
        <w:rPr>
          <w:rFonts w:cstheme="minorHAnsi"/>
          <w:sz w:val="24"/>
          <w:szCs w:val="24"/>
          <w:lang w:val="en-GB"/>
        </w:rPr>
      </w:pPr>
      <w:r w:rsidRPr="00F70791">
        <w:rPr>
          <w:rFonts w:cstheme="minorHAnsi"/>
          <w:b/>
          <w:bCs/>
          <w:sz w:val="24"/>
          <w:szCs w:val="24"/>
          <w:lang w:val="en-GB"/>
        </w:rPr>
        <w:t>Positive outcomes and testimonials</w:t>
      </w:r>
    </w:p>
    <w:p w14:paraId="7D7193F2" w14:textId="0E6D8E7A" w:rsidR="00921102" w:rsidRPr="00B119C2" w:rsidRDefault="00F24C67" w:rsidP="004547A3">
      <w:pPr>
        <w:pStyle w:val="NormalWeb"/>
        <w:spacing w:before="0" w:beforeAutospacing="0" w:after="120" w:afterAutospacing="0" w:line="276" w:lineRule="auto"/>
        <w:rPr>
          <w:rFonts w:asciiTheme="minorHAnsi" w:hAnsiTheme="minorHAnsi" w:cstheme="minorHAnsi"/>
          <w:color w:val="000000" w:themeColor="text1"/>
          <w:sz w:val="22"/>
          <w:szCs w:val="22"/>
        </w:rPr>
      </w:pPr>
      <w:r w:rsidRPr="00B119C2">
        <w:rPr>
          <w:rFonts w:asciiTheme="minorHAnsi" w:hAnsiTheme="minorHAnsi" w:cstheme="minorHAnsi"/>
          <w:color w:val="000000" w:themeColor="text1"/>
          <w:sz w:val="22"/>
          <w:szCs w:val="22"/>
        </w:rPr>
        <w:t xml:space="preserve">As part of this study, GOPA consultants met with </w:t>
      </w:r>
      <w:r w:rsidR="00B22B17" w:rsidRPr="00B119C2">
        <w:rPr>
          <w:rFonts w:asciiTheme="minorHAnsi" w:hAnsiTheme="minorHAnsi" w:cstheme="minorHAnsi"/>
          <w:color w:val="000000" w:themeColor="text1"/>
          <w:sz w:val="22"/>
          <w:szCs w:val="22"/>
        </w:rPr>
        <w:t>NTA</w:t>
      </w:r>
      <w:r w:rsidRPr="00B119C2">
        <w:rPr>
          <w:rFonts w:asciiTheme="minorHAnsi" w:hAnsiTheme="minorHAnsi" w:cstheme="minorHAnsi"/>
          <w:color w:val="000000" w:themeColor="text1"/>
          <w:sz w:val="22"/>
          <w:szCs w:val="22"/>
        </w:rPr>
        <w:t xml:space="preserve"> representative</w:t>
      </w:r>
      <w:r w:rsidR="00921102" w:rsidRPr="00B119C2">
        <w:rPr>
          <w:rFonts w:asciiTheme="minorHAnsi" w:hAnsiTheme="minorHAnsi" w:cstheme="minorHAnsi"/>
          <w:color w:val="000000" w:themeColor="text1"/>
          <w:sz w:val="22"/>
          <w:szCs w:val="22"/>
        </w:rPr>
        <w:t xml:space="preserve">, Dalia Mwiya, Manager: Work Integrated Learning (WIL), to discuss the rationale for the guidelines. </w:t>
      </w:r>
    </w:p>
    <w:p w14:paraId="6A715058" w14:textId="2A27DAAB" w:rsidR="00F24C67" w:rsidRPr="009C1120" w:rsidRDefault="00921102" w:rsidP="004547A3">
      <w:pPr>
        <w:pStyle w:val="NormalWeb"/>
        <w:spacing w:before="0" w:beforeAutospacing="0" w:after="120" w:afterAutospacing="0" w:line="276" w:lineRule="auto"/>
        <w:rPr>
          <w:rFonts w:cstheme="minorHAnsi"/>
          <w:color w:val="000000" w:themeColor="text1"/>
          <w:lang w:val="en-US"/>
        </w:rPr>
      </w:pPr>
      <w:r w:rsidRPr="00B119C2">
        <w:rPr>
          <w:rFonts w:asciiTheme="minorHAnsi" w:hAnsiTheme="minorHAnsi" w:cstheme="minorHAnsi"/>
          <w:color w:val="000000" w:themeColor="text1"/>
          <w:sz w:val="22"/>
          <w:szCs w:val="22"/>
        </w:rPr>
        <w:t xml:space="preserve">Ms </w:t>
      </w:r>
      <w:r w:rsidR="009106C8" w:rsidRPr="00B119C2">
        <w:rPr>
          <w:rFonts w:asciiTheme="minorHAnsi" w:hAnsiTheme="minorHAnsi" w:cstheme="minorHAnsi"/>
          <w:color w:val="000000" w:themeColor="text1"/>
          <w:sz w:val="22"/>
          <w:szCs w:val="22"/>
        </w:rPr>
        <w:t>Mwiya</w:t>
      </w:r>
      <w:r w:rsidRPr="00B119C2">
        <w:rPr>
          <w:rFonts w:asciiTheme="minorHAnsi" w:hAnsiTheme="minorHAnsi" w:cstheme="minorHAnsi"/>
          <w:color w:val="000000" w:themeColor="text1"/>
          <w:sz w:val="22"/>
          <w:szCs w:val="22"/>
        </w:rPr>
        <w:t xml:space="preserve"> explained in detail how NTA </w:t>
      </w:r>
      <w:r w:rsidR="00B119C2">
        <w:rPr>
          <w:rFonts w:asciiTheme="minorHAnsi" w:hAnsiTheme="minorHAnsi" w:cstheme="minorHAnsi"/>
          <w:color w:val="000000" w:themeColor="text1"/>
          <w:sz w:val="22"/>
          <w:szCs w:val="22"/>
        </w:rPr>
        <w:t>are</w:t>
      </w:r>
      <w:r w:rsidRPr="00B119C2">
        <w:rPr>
          <w:rFonts w:asciiTheme="minorHAnsi" w:hAnsiTheme="minorHAnsi" w:cstheme="minorHAnsi"/>
          <w:color w:val="000000" w:themeColor="text1"/>
          <w:sz w:val="22"/>
          <w:szCs w:val="22"/>
        </w:rPr>
        <w:t xml:space="preserve"> determined to promote employer engagement in TVET and introduce enhanced</w:t>
      </w:r>
      <w:r w:rsidR="00B119C2">
        <w:rPr>
          <w:rFonts w:asciiTheme="minorHAnsi" w:hAnsiTheme="minorHAnsi" w:cstheme="minorHAnsi"/>
          <w:color w:val="000000" w:themeColor="text1"/>
          <w:sz w:val="22"/>
          <w:szCs w:val="22"/>
        </w:rPr>
        <w:t xml:space="preserve"> quality assured</w:t>
      </w:r>
      <w:r w:rsidRPr="00B119C2">
        <w:rPr>
          <w:rFonts w:asciiTheme="minorHAnsi" w:hAnsiTheme="minorHAnsi" w:cstheme="minorHAnsi"/>
          <w:color w:val="000000" w:themeColor="text1"/>
          <w:sz w:val="22"/>
          <w:szCs w:val="22"/>
        </w:rPr>
        <w:t xml:space="preserve"> WIL models</w:t>
      </w:r>
      <w:r w:rsidR="00E919C9" w:rsidRPr="00B119C2">
        <w:rPr>
          <w:rFonts w:asciiTheme="minorHAnsi" w:hAnsiTheme="minorHAnsi" w:cstheme="minorHAnsi"/>
          <w:color w:val="000000" w:themeColor="text1"/>
          <w:sz w:val="22"/>
          <w:szCs w:val="22"/>
        </w:rPr>
        <w:t>, including through the innovative use of levy funding to support good practice. She also referenced the need to design a framework through which different WIL stakeholders could collaborate. She spoke about the need to link WIL outcomes</w:t>
      </w:r>
      <w:r w:rsidR="00B119C2">
        <w:rPr>
          <w:rFonts w:asciiTheme="minorHAnsi" w:hAnsiTheme="minorHAnsi" w:cstheme="minorHAnsi"/>
          <w:color w:val="000000" w:themeColor="text1"/>
          <w:sz w:val="22"/>
          <w:szCs w:val="22"/>
        </w:rPr>
        <w:t xml:space="preserve"> employment and potential progression</w:t>
      </w:r>
      <w:r w:rsidR="00E919C9" w:rsidRPr="00B119C2">
        <w:rPr>
          <w:rFonts w:asciiTheme="minorHAnsi" w:hAnsiTheme="minorHAnsi" w:cstheme="minorHAnsi"/>
          <w:color w:val="000000" w:themeColor="text1"/>
          <w:sz w:val="22"/>
          <w:szCs w:val="22"/>
        </w:rPr>
        <w:t xml:space="preserve"> to general education through mappable pathways linked to the NQF and the importance to operationalise the GoN’s strategic objectives for the TVET sector. </w:t>
      </w:r>
      <w:r w:rsidR="00F70791" w:rsidRPr="00B119C2">
        <w:rPr>
          <w:rFonts w:asciiTheme="minorHAnsi" w:hAnsiTheme="minorHAnsi" w:cstheme="minorHAnsi"/>
          <w:color w:val="000000" w:themeColor="text1"/>
          <w:sz w:val="22"/>
          <w:szCs w:val="22"/>
        </w:rPr>
        <w:t xml:space="preserve">She described the key role played by NTA in both monitoring and promoting the guidelines, how it is envisaged that the authority will drive Namibia’s apprenticeship agenda. </w:t>
      </w:r>
      <w:r w:rsidR="00E919C9" w:rsidRPr="00B119C2">
        <w:rPr>
          <w:rFonts w:asciiTheme="minorHAnsi" w:hAnsiTheme="minorHAnsi" w:cstheme="minorHAnsi"/>
          <w:color w:val="000000" w:themeColor="text1"/>
          <w:sz w:val="22"/>
          <w:szCs w:val="22"/>
        </w:rPr>
        <w:t xml:space="preserve">She also described </w:t>
      </w:r>
      <w:r w:rsidR="00BE18B9" w:rsidRPr="00B119C2">
        <w:rPr>
          <w:rFonts w:asciiTheme="minorHAnsi" w:hAnsiTheme="minorHAnsi" w:cstheme="minorHAnsi"/>
          <w:color w:val="000000" w:themeColor="text1"/>
          <w:sz w:val="22"/>
          <w:szCs w:val="22"/>
        </w:rPr>
        <w:t xml:space="preserve">NTA developed </w:t>
      </w:r>
      <w:r w:rsidR="00E919C9" w:rsidRPr="00B119C2">
        <w:rPr>
          <w:rFonts w:asciiTheme="minorHAnsi" w:hAnsiTheme="minorHAnsi" w:cstheme="minorHAnsi"/>
          <w:color w:val="000000" w:themeColor="text1"/>
          <w:sz w:val="22"/>
          <w:szCs w:val="22"/>
        </w:rPr>
        <w:t>tools (</w:t>
      </w:r>
      <w:r w:rsidR="00F70791" w:rsidRPr="00B119C2">
        <w:rPr>
          <w:rFonts w:asciiTheme="minorHAnsi" w:hAnsiTheme="minorHAnsi" w:cstheme="minorHAnsi"/>
          <w:color w:val="000000" w:themeColor="text1"/>
          <w:sz w:val="22"/>
          <w:szCs w:val="22"/>
        </w:rPr>
        <w:t xml:space="preserve">apprenticeship logbook, application form and promotional materials (‘brochure’ and ‘booklet’) which will be used to further operationalise and promote the uptake of the guidelines. </w:t>
      </w:r>
    </w:p>
    <w:p w14:paraId="172E8036" w14:textId="77777777" w:rsidR="007642AC" w:rsidRPr="00F70791" w:rsidRDefault="00CF0B66" w:rsidP="00B52F47">
      <w:pPr>
        <w:pBdr>
          <w:bottom w:val="single" w:sz="4" w:space="1" w:color="auto"/>
        </w:pBdr>
        <w:rPr>
          <w:b/>
          <w:bCs/>
          <w:sz w:val="24"/>
          <w:szCs w:val="24"/>
          <w:lang w:val="en-GB"/>
        </w:rPr>
      </w:pPr>
      <w:r w:rsidRPr="00F70791">
        <w:rPr>
          <w:b/>
          <w:bCs/>
          <w:sz w:val="24"/>
          <w:szCs w:val="24"/>
          <w:lang w:val="en-GB"/>
        </w:rPr>
        <w:t>Source:</w:t>
      </w:r>
    </w:p>
    <w:p w14:paraId="6BC0B380" w14:textId="3152E81F" w:rsidR="009610EA" w:rsidRPr="009C1120" w:rsidRDefault="00CA445B" w:rsidP="009C1120">
      <w:pPr>
        <w:pStyle w:val="ListParagraph"/>
        <w:numPr>
          <w:ilvl w:val="0"/>
          <w:numId w:val="12"/>
        </w:numPr>
        <w:spacing w:line="276" w:lineRule="auto"/>
        <w:rPr>
          <w:lang w:val="en-GB"/>
        </w:rPr>
      </w:pPr>
      <w:r w:rsidRPr="009C1120">
        <w:rPr>
          <w:lang w:val="en-GB"/>
        </w:rPr>
        <w:t xml:space="preserve">GIZ Namibia </w:t>
      </w:r>
      <w:hyperlink r:id="rId11" w:history="1">
        <w:r w:rsidRPr="009C1120">
          <w:rPr>
            <w:rStyle w:val="Hyperlink"/>
            <w:lang w:val="en-GB"/>
          </w:rPr>
          <w:t>https://www.giz.de/en/worldwide/323.html</w:t>
        </w:r>
      </w:hyperlink>
      <w:r w:rsidRPr="009C1120">
        <w:rPr>
          <w:lang w:val="en-GB"/>
        </w:rPr>
        <w:t xml:space="preserve"> (last accessed 01.07.22)</w:t>
      </w:r>
    </w:p>
    <w:p w14:paraId="549FC7A0" w14:textId="10BA2137" w:rsidR="005F47EB" w:rsidRPr="009C1120" w:rsidRDefault="005F47EB" w:rsidP="009C1120">
      <w:pPr>
        <w:pStyle w:val="ListParagraph"/>
        <w:numPr>
          <w:ilvl w:val="0"/>
          <w:numId w:val="12"/>
        </w:numPr>
        <w:spacing w:line="276" w:lineRule="auto"/>
        <w:rPr>
          <w:lang w:val="en-GB"/>
        </w:rPr>
      </w:pPr>
      <w:r w:rsidRPr="009C1120">
        <w:rPr>
          <w:lang w:val="en-GB"/>
        </w:rPr>
        <w:t>National Technical, Vocational Education and Training Policy (MHETI 2021)</w:t>
      </w:r>
    </w:p>
    <w:p w14:paraId="4E0AD79D" w14:textId="5B6906F5" w:rsidR="009610EA" w:rsidRPr="009C1120" w:rsidRDefault="00E76ED2" w:rsidP="009C1120">
      <w:pPr>
        <w:pStyle w:val="ListParagraph"/>
        <w:numPr>
          <w:ilvl w:val="0"/>
          <w:numId w:val="12"/>
        </w:numPr>
        <w:spacing w:line="276" w:lineRule="auto"/>
        <w:rPr>
          <w:lang w:val="en-GB"/>
        </w:rPr>
      </w:pPr>
      <w:r w:rsidRPr="009C1120">
        <w:rPr>
          <w:lang w:val="en-GB"/>
        </w:rPr>
        <w:t>Procedures and guidelines for the implementation of work-integrated learning policy in TVET (NTA 2020)</w:t>
      </w:r>
    </w:p>
    <w:p w14:paraId="0C1726BE" w14:textId="67EBC81E" w:rsidR="009610EA" w:rsidRPr="009C1120" w:rsidRDefault="005F47EB" w:rsidP="009C1120">
      <w:pPr>
        <w:pStyle w:val="ListParagraph"/>
        <w:numPr>
          <w:ilvl w:val="0"/>
          <w:numId w:val="12"/>
        </w:numPr>
        <w:spacing w:line="276" w:lineRule="auto"/>
        <w:rPr>
          <w:lang w:val="en-GB"/>
        </w:rPr>
      </w:pPr>
      <w:r w:rsidRPr="009C1120">
        <w:rPr>
          <w:lang w:val="en-GB"/>
        </w:rPr>
        <w:t xml:space="preserve">TVET, Higher Education and Innovation Namibia (UNESCO 2016) </w:t>
      </w:r>
      <w:hyperlink r:id="rId12" w:history="1">
        <w:r w:rsidRPr="009C1120">
          <w:rPr>
            <w:rStyle w:val="Hyperlink"/>
            <w:lang w:val="en-GB"/>
          </w:rPr>
          <w:t>https://unesdoc.unesco.org/ark:/48223/pf0000245818</w:t>
        </w:r>
      </w:hyperlink>
      <w:r w:rsidR="009610EA" w:rsidRPr="009C1120">
        <w:rPr>
          <w:lang w:val="en-GB"/>
        </w:rPr>
        <w:t xml:space="preserve">  </w:t>
      </w:r>
      <w:r w:rsidRPr="009C1120">
        <w:rPr>
          <w:lang w:val="en-GB"/>
        </w:rPr>
        <w:t>(last accessed 01.07.22)</w:t>
      </w:r>
    </w:p>
    <w:p w14:paraId="581905E0" w14:textId="297135D9" w:rsidR="000F50FA" w:rsidRPr="009C1120" w:rsidRDefault="001C6B9B" w:rsidP="009C1120">
      <w:pPr>
        <w:pStyle w:val="ListParagraph"/>
        <w:numPr>
          <w:ilvl w:val="0"/>
          <w:numId w:val="12"/>
        </w:numPr>
        <w:spacing w:line="276" w:lineRule="auto"/>
        <w:rPr>
          <w:lang w:val="en-GB"/>
        </w:rPr>
      </w:pPr>
      <w:r w:rsidRPr="009C1120">
        <w:rPr>
          <w:lang w:val="en-US"/>
        </w:rPr>
        <w:lastRenderedPageBreak/>
        <w:t xml:space="preserve">World TVET Database, Namibia (UNEVCO 2015) </w:t>
      </w:r>
      <w:hyperlink r:id="rId13" w:history="1">
        <w:r w:rsidRPr="009C1120">
          <w:rPr>
            <w:rStyle w:val="Hyperlink"/>
            <w:lang w:val="en-GB"/>
          </w:rPr>
          <w:t>https://unevoc.unesco.org/wtdb/worldtvetdatabase_nam_en.pdf</w:t>
        </w:r>
      </w:hyperlink>
      <w:r w:rsidRPr="009C1120">
        <w:rPr>
          <w:lang w:val="en-GB"/>
        </w:rPr>
        <w:t xml:space="preserve"> (last accessed 01.07.22)</w:t>
      </w:r>
    </w:p>
    <w:sectPr w:rsidR="000F50FA" w:rsidRPr="009C1120">
      <w:headerReference w:type="default" r:id="rId14"/>
      <w:footerReference w:type="default" r:id="rId15"/>
      <w:pgSz w:w="11906" w:h="16838"/>
      <w:pgMar w:top="1701" w:right="1134" w:bottom="170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EDB00" w16cex:dateUtc="2022-07-05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646B2B" w16cid:durableId="266EDB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BFDF3" w14:textId="77777777" w:rsidR="00670B24" w:rsidRDefault="00670B24">
      <w:pPr>
        <w:spacing w:after="0" w:line="240" w:lineRule="auto"/>
      </w:pPr>
      <w:r>
        <w:separator/>
      </w:r>
    </w:p>
  </w:endnote>
  <w:endnote w:type="continuationSeparator" w:id="0">
    <w:p w14:paraId="5B8CF777" w14:textId="77777777" w:rsidR="00670B24" w:rsidRDefault="0067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169744"/>
      <w:docPartObj>
        <w:docPartGallery w:val="Page Numbers (Bottom of Page)"/>
        <w:docPartUnique/>
      </w:docPartObj>
    </w:sdtPr>
    <w:sdtEndPr/>
    <w:sdtContent>
      <w:p w14:paraId="3B663F25" w14:textId="07DEDC85" w:rsidR="00EC5904" w:rsidRDefault="00CF0B66">
        <w:pPr>
          <w:pStyle w:val="Footer"/>
          <w:jc w:val="center"/>
        </w:pPr>
        <w:r>
          <w:fldChar w:fldCharType="begin"/>
        </w:r>
        <w:r>
          <w:instrText>PAGE   \* MERGEFORMAT</w:instrText>
        </w:r>
        <w:r>
          <w:fldChar w:fldCharType="separate"/>
        </w:r>
        <w:r w:rsidR="001B1689">
          <w:rPr>
            <w:noProof/>
          </w:rPr>
          <w:t>8</w:t>
        </w:r>
        <w:r>
          <w:fldChar w:fldCharType="end"/>
        </w:r>
      </w:p>
    </w:sdtContent>
  </w:sdt>
  <w:p w14:paraId="5C914FD9" w14:textId="77777777" w:rsidR="00EC5904" w:rsidRDefault="00EC5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D7FF5" w14:textId="77777777" w:rsidR="00670B24" w:rsidRDefault="00670B24">
      <w:pPr>
        <w:spacing w:after="0" w:line="240" w:lineRule="auto"/>
      </w:pPr>
      <w:r>
        <w:separator/>
      </w:r>
    </w:p>
  </w:footnote>
  <w:footnote w:type="continuationSeparator" w:id="0">
    <w:p w14:paraId="3615764F" w14:textId="77777777" w:rsidR="00670B24" w:rsidRDefault="00670B24">
      <w:pPr>
        <w:spacing w:after="0" w:line="240" w:lineRule="auto"/>
      </w:pPr>
      <w:r>
        <w:continuationSeparator/>
      </w:r>
    </w:p>
  </w:footnote>
  <w:footnote w:id="1">
    <w:p w14:paraId="1B83FC94" w14:textId="137BA308" w:rsidR="00F44063" w:rsidRPr="00340CE6" w:rsidRDefault="00F44063" w:rsidP="00F44063">
      <w:pPr>
        <w:pStyle w:val="FootnoteText"/>
        <w:rPr>
          <w:rFonts w:cstheme="minorHAnsi"/>
          <w:sz w:val="16"/>
          <w:szCs w:val="16"/>
          <w:lang w:val="en-GB"/>
        </w:rPr>
      </w:pPr>
      <w:r w:rsidRPr="00340CE6">
        <w:rPr>
          <w:rStyle w:val="FootnoteReference"/>
          <w:rFonts w:cstheme="minorHAnsi"/>
          <w:sz w:val="16"/>
          <w:szCs w:val="16"/>
          <w:lang w:val="en-GB"/>
        </w:rPr>
        <w:footnoteRef/>
      </w:r>
      <w:r w:rsidRPr="00340CE6">
        <w:rPr>
          <w:rFonts w:cstheme="minorHAnsi"/>
          <w:sz w:val="16"/>
          <w:szCs w:val="16"/>
          <w:lang w:val="en-GB"/>
        </w:rPr>
        <w:t xml:space="preserve"> Throughout this paper, the African Union abbreviation – Namibia – will be used.</w:t>
      </w:r>
    </w:p>
  </w:footnote>
  <w:footnote w:id="2">
    <w:p w14:paraId="192A3071" w14:textId="1A2C1532" w:rsidR="004547A3" w:rsidRPr="004547A3" w:rsidRDefault="004547A3">
      <w:pPr>
        <w:pStyle w:val="FootnoteText"/>
        <w:rPr>
          <w:lang w:val="en-US"/>
        </w:rPr>
      </w:pPr>
      <w:r>
        <w:rPr>
          <w:rStyle w:val="FootnoteReference"/>
        </w:rPr>
        <w:footnoteRef/>
      </w:r>
      <w:r w:rsidRPr="004547A3">
        <w:rPr>
          <w:lang w:val="en-US"/>
        </w:rPr>
        <w:t xml:space="preserve"> </w:t>
      </w:r>
      <w:r w:rsidRPr="004547A3">
        <w:rPr>
          <w:rFonts w:cstheme="minorHAnsi"/>
          <w:sz w:val="16"/>
          <w:szCs w:val="16"/>
          <w:lang w:val="en-US"/>
        </w:rPr>
        <w:t>Disclaimer: This publication was produced with the financial support of the European Union and the German Federal Ministry for Economic Cooperation and Development. The views and opinions expressed herein are those of the authors or persons cited and do not necessarily reflect the official policy, view or position of AUDA-NEPAD, the European Union or the German Federal Ministry for Economic Cooperation and Development. The terms used herein and the presentation of material therein do not imply any endorsement by AUDA-NPAD, the European Union or the German Federal Ministry for Economic Cooperation and Development. Information in this book is offered in the understanding that it does not contain legal, financial or other forms of professional advice. Although the author has made great efforts to ensure the accuracy of the content, errors and omissions may occur.</w:t>
      </w:r>
    </w:p>
  </w:footnote>
  <w:footnote w:id="3">
    <w:p w14:paraId="1F1B5155" w14:textId="3B83C291" w:rsidR="00DD3228" w:rsidRPr="00340CE6" w:rsidRDefault="00DD3228">
      <w:pPr>
        <w:pStyle w:val="FootnoteText"/>
        <w:rPr>
          <w:sz w:val="16"/>
          <w:szCs w:val="16"/>
          <w:lang w:val="en-GB"/>
        </w:rPr>
      </w:pPr>
      <w:r w:rsidRPr="00340CE6">
        <w:rPr>
          <w:rStyle w:val="FootnoteReference"/>
          <w:sz w:val="16"/>
          <w:szCs w:val="16"/>
          <w:lang w:val="en-GB"/>
        </w:rPr>
        <w:footnoteRef/>
      </w:r>
      <w:r w:rsidRPr="00340CE6">
        <w:rPr>
          <w:sz w:val="16"/>
          <w:szCs w:val="16"/>
          <w:lang w:val="en-GB"/>
        </w:rPr>
        <w:t xml:space="preserve"> Namibian TVET sector uses the term ‘Work-integrated learning’ to describe work-based learning models</w:t>
      </w:r>
      <w:r w:rsidR="004558AF">
        <w:rPr>
          <w:sz w:val="16"/>
          <w:szCs w:val="16"/>
          <w:lang w:val="en-GB"/>
        </w:rPr>
        <w:t xml:space="preserve"> which will be applied in this report </w:t>
      </w:r>
    </w:p>
  </w:footnote>
  <w:footnote w:id="4">
    <w:p w14:paraId="40D69970" w14:textId="413A0E08" w:rsidR="00DA4CC6" w:rsidRPr="00FE3FEF" w:rsidRDefault="00DA4CC6">
      <w:pPr>
        <w:pStyle w:val="FootnoteText"/>
        <w:rPr>
          <w:sz w:val="16"/>
          <w:szCs w:val="16"/>
          <w:lang w:val="de-DE"/>
        </w:rPr>
      </w:pPr>
      <w:r w:rsidRPr="00340CE6">
        <w:rPr>
          <w:rStyle w:val="FootnoteReference"/>
          <w:sz w:val="16"/>
          <w:szCs w:val="16"/>
          <w:lang w:val="en-GB"/>
        </w:rPr>
        <w:footnoteRef/>
      </w:r>
      <w:r w:rsidRPr="00FE3FEF">
        <w:rPr>
          <w:sz w:val="16"/>
          <w:szCs w:val="16"/>
          <w:lang w:val="de-DE"/>
        </w:rPr>
        <w:t xml:space="preserve"> GIZ Namibia </w:t>
      </w:r>
      <w:hyperlink r:id="rId1" w:history="1">
        <w:r w:rsidR="00CA445B" w:rsidRPr="00FE3FEF">
          <w:rPr>
            <w:rStyle w:val="Hyperlink"/>
            <w:sz w:val="16"/>
            <w:szCs w:val="16"/>
            <w:lang w:val="de-DE"/>
          </w:rPr>
          <w:t>https://www.giz.de/en/worldwide/323.html</w:t>
        </w:r>
      </w:hyperlink>
      <w:r w:rsidR="00CA445B" w:rsidRPr="00FE3FEF">
        <w:rPr>
          <w:sz w:val="16"/>
          <w:szCs w:val="16"/>
          <w:lang w:val="de-DE"/>
        </w:rPr>
        <w:t xml:space="preserve"> </w:t>
      </w:r>
    </w:p>
  </w:footnote>
  <w:footnote w:id="5">
    <w:p w14:paraId="2E2A0DE0" w14:textId="4A7BF31B" w:rsidR="005D22E8" w:rsidRPr="00340CE6" w:rsidRDefault="005D22E8">
      <w:pPr>
        <w:pStyle w:val="FootnoteText"/>
        <w:rPr>
          <w:sz w:val="16"/>
          <w:szCs w:val="16"/>
          <w:lang w:val="en-GB"/>
        </w:rPr>
      </w:pPr>
      <w:r w:rsidRPr="00340CE6">
        <w:rPr>
          <w:rStyle w:val="FootnoteReference"/>
          <w:sz w:val="16"/>
          <w:szCs w:val="16"/>
          <w:lang w:val="en-GB"/>
        </w:rPr>
        <w:footnoteRef/>
      </w:r>
      <w:r w:rsidRPr="00340CE6">
        <w:rPr>
          <w:sz w:val="16"/>
          <w:szCs w:val="16"/>
          <w:lang w:val="en-GB"/>
        </w:rPr>
        <w:t xml:space="preserve"> National Technical, Vocational Education and Training Policy (MHETI 2021)</w:t>
      </w:r>
    </w:p>
  </w:footnote>
  <w:footnote w:id="6">
    <w:p w14:paraId="421E37BE" w14:textId="7E69AC33" w:rsidR="005D22E8" w:rsidRPr="00340CE6" w:rsidRDefault="005D22E8">
      <w:pPr>
        <w:pStyle w:val="FootnoteText"/>
        <w:rPr>
          <w:sz w:val="16"/>
          <w:szCs w:val="16"/>
          <w:lang w:val="en-GB"/>
        </w:rPr>
      </w:pPr>
      <w:r w:rsidRPr="00340CE6">
        <w:rPr>
          <w:rStyle w:val="FootnoteReference"/>
          <w:sz w:val="16"/>
          <w:szCs w:val="16"/>
          <w:lang w:val="en-GB"/>
        </w:rPr>
        <w:footnoteRef/>
      </w:r>
      <w:r w:rsidRPr="00340CE6">
        <w:rPr>
          <w:sz w:val="16"/>
          <w:szCs w:val="16"/>
          <w:lang w:val="en-GB"/>
        </w:rPr>
        <w:t xml:space="preserve"> Procedures and guidelines for the</w:t>
      </w:r>
      <w:r w:rsidR="00ED2152" w:rsidRPr="00340CE6">
        <w:rPr>
          <w:sz w:val="16"/>
          <w:szCs w:val="16"/>
          <w:lang w:val="en-GB"/>
        </w:rPr>
        <w:t xml:space="preserve"> </w:t>
      </w:r>
      <w:r w:rsidRPr="00340CE6">
        <w:rPr>
          <w:sz w:val="16"/>
          <w:szCs w:val="16"/>
          <w:lang w:val="en-GB"/>
        </w:rPr>
        <w:t>impl</w:t>
      </w:r>
      <w:r w:rsidR="00ED2152" w:rsidRPr="00340CE6">
        <w:rPr>
          <w:sz w:val="16"/>
          <w:szCs w:val="16"/>
          <w:lang w:val="en-GB"/>
        </w:rPr>
        <w:t>e</w:t>
      </w:r>
      <w:r w:rsidRPr="00340CE6">
        <w:rPr>
          <w:sz w:val="16"/>
          <w:szCs w:val="16"/>
          <w:lang w:val="en-GB"/>
        </w:rPr>
        <w:t xml:space="preserve">mentation </w:t>
      </w:r>
      <w:r w:rsidR="00ED2152" w:rsidRPr="00340CE6">
        <w:rPr>
          <w:sz w:val="16"/>
          <w:szCs w:val="16"/>
          <w:lang w:val="en-GB"/>
        </w:rPr>
        <w:t>of work-integrated learning policy in TVET (NTA 2020)</w:t>
      </w:r>
    </w:p>
  </w:footnote>
  <w:footnote w:id="7">
    <w:p w14:paraId="5E4C2523" w14:textId="1EC78EBC" w:rsidR="00F44063" w:rsidRPr="00340CE6" w:rsidRDefault="00F44063">
      <w:pPr>
        <w:pStyle w:val="FootnoteText"/>
        <w:rPr>
          <w:rFonts w:cstheme="minorHAnsi"/>
          <w:sz w:val="16"/>
          <w:szCs w:val="16"/>
          <w:lang w:val="en-GB"/>
        </w:rPr>
      </w:pPr>
      <w:r w:rsidRPr="00340CE6">
        <w:rPr>
          <w:rStyle w:val="FootnoteReference"/>
          <w:rFonts w:cstheme="minorHAnsi"/>
          <w:sz w:val="16"/>
          <w:szCs w:val="16"/>
        </w:rPr>
        <w:footnoteRef/>
      </w:r>
      <w:r w:rsidRPr="009C1120">
        <w:rPr>
          <w:rFonts w:cstheme="minorHAnsi"/>
          <w:sz w:val="16"/>
          <w:szCs w:val="16"/>
          <w:lang w:val="en-US"/>
        </w:rPr>
        <w:t xml:space="preserve"> </w:t>
      </w:r>
      <w:r w:rsidR="00340CE6" w:rsidRPr="00340CE6">
        <w:rPr>
          <w:rFonts w:eastAsia="Times New Roman" w:cstheme="minorHAnsi"/>
          <w:sz w:val="16"/>
          <w:szCs w:val="16"/>
          <w:lang w:val="en-GB" w:eastAsia="en-GB"/>
        </w:rPr>
        <w:t xml:space="preserve">Namibia Training Authority (NTA) national agency tasked with the responsibility of developing an efficient, effective and sustainable TVET system </w:t>
      </w:r>
    </w:p>
  </w:footnote>
  <w:footnote w:id="8">
    <w:p w14:paraId="10ABB323" w14:textId="31D8D8EA" w:rsidR="00AB1202" w:rsidRPr="00AB1202" w:rsidRDefault="00AB1202">
      <w:pPr>
        <w:pStyle w:val="FootnoteText"/>
        <w:rPr>
          <w:lang w:val="en-GB"/>
        </w:rPr>
      </w:pPr>
      <w:r w:rsidRPr="00340CE6">
        <w:rPr>
          <w:rStyle w:val="FootnoteReference"/>
          <w:sz w:val="16"/>
          <w:szCs w:val="16"/>
        </w:rPr>
        <w:footnoteRef/>
      </w:r>
      <w:r w:rsidRPr="009C1120">
        <w:rPr>
          <w:sz w:val="16"/>
          <w:szCs w:val="16"/>
          <w:lang w:val="en-US"/>
        </w:rPr>
        <w:t xml:space="preserve"> </w:t>
      </w:r>
      <w:r w:rsidR="00340CE6" w:rsidRPr="00340CE6">
        <w:rPr>
          <w:sz w:val="16"/>
          <w:szCs w:val="16"/>
          <w:lang w:val="en-GB"/>
        </w:rPr>
        <w:t>Procedures and guidelines for the implementation of work-integrated learning policy in TVET (NTA 2020)</w:t>
      </w:r>
    </w:p>
  </w:footnote>
  <w:footnote w:id="9">
    <w:p w14:paraId="6231CE4F" w14:textId="20E907F1" w:rsidR="00FF4085" w:rsidRPr="005477E8" w:rsidRDefault="00FF4085">
      <w:pPr>
        <w:pStyle w:val="FootnoteText"/>
        <w:rPr>
          <w:sz w:val="16"/>
          <w:szCs w:val="16"/>
          <w:lang w:val="en-GB"/>
        </w:rPr>
      </w:pPr>
      <w:r w:rsidRPr="005477E8">
        <w:rPr>
          <w:rStyle w:val="FootnoteReference"/>
          <w:sz w:val="16"/>
          <w:szCs w:val="16"/>
        </w:rPr>
        <w:footnoteRef/>
      </w:r>
      <w:r w:rsidRPr="009C1120">
        <w:rPr>
          <w:sz w:val="16"/>
          <w:szCs w:val="16"/>
          <w:lang w:val="en-US"/>
        </w:rPr>
        <w:t xml:space="preserve"> </w:t>
      </w:r>
      <w:r w:rsidR="000F50FA" w:rsidRPr="009C1120">
        <w:rPr>
          <w:sz w:val="16"/>
          <w:szCs w:val="16"/>
          <w:lang w:val="en-US"/>
        </w:rPr>
        <w:t>World TVET Database, Namibia (UNEVCO 2015)</w:t>
      </w:r>
    </w:p>
  </w:footnote>
  <w:footnote w:id="10">
    <w:p w14:paraId="2991CFFE" w14:textId="340E29CB" w:rsidR="005477E8" w:rsidRPr="005477E8" w:rsidRDefault="005477E8">
      <w:pPr>
        <w:pStyle w:val="FootnoteText"/>
        <w:rPr>
          <w:lang w:val="en-GB"/>
        </w:rPr>
      </w:pPr>
      <w:r w:rsidRPr="005477E8">
        <w:rPr>
          <w:rStyle w:val="FootnoteReference"/>
          <w:sz w:val="16"/>
          <w:szCs w:val="16"/>
        </w:rPr>
        <w:footnoteRef/>
      </w:r>
      <w:r w:rsidRPr="009C1120">
        <w:rPr>
          <w:sz w:val="16"/>
          <w:szCs w:val="16"/>
          <w:lang w:val="en-US"/>
        </w:rPr>
        <w:t xml:space="preserve"> </w:t>
      </w:r>
      <w:r w:rsidRPr="005477E8">
        <w:rPr>
          <w:sz w:val="16"/>
          <w:szCs w:val="16"/>
          <w:lang w:val="en-GB"/>
        </w:rPr>
        <w:t>TVET, Higher Education and Innovation Namibia (UNESCO 2016)</w:t>
      </w:r>
    </w:p>
  </w:footnote>
  <w:footnote w:id="11">
    <w:p w14:paraId="34BBCD73" w14:textId="05B2287D" w:rsidR="00E76ED2" w:rsidRPr="00E76ED2" w:rsidRDefault="00E76ED2">
      <w:pPr>
        <w:pStyle w:val="FootnoteText"/>
        <w:rPr>
          <w:lang w:val="en-GB"/>
        </w:rPr>
      </w:pPr>
      <w:r>
        <w:rPr>
          <w:rStyle w:val="FootnoteReference"/>
        </w:rPr>
        <w:footnoteRef/>
      </w:r>
      <w:r w:rsidRPr="009C1120">
        <w:rPr>
          <w:lang w:val="en-US"/>
        </w:rPr>
        <w:t xml:space="preserve"> </w:t>
      </w:r>
      <w:r w:rsidRPr="00340CE6">
        <w:rPr>
          <w:sz w:val="16"/>
          <w:szCs w:val="16"/>
          <w:lang w:val="en-GB"/>
        </w:rPr>
        <w:t>Procedures and guidelines for the implementation of work-integrated learning policy in TVET (NTA 2020)</w:t>
      </w:r>
    </w:p>
  </w:footnote>
  <w:footnote w:id="12">
    <w:p w14:paraId="6919ED5F" w14:textId="6816432D" w:rsidR="00F8235B" w:rsidRPr="000A7B59" w:rsidRDefault="00F8235B">
      <w:pPr>
        <w:pStyle w:val="FootnoteText"/>
        <w:rPr>
          <w:sz w:val="16"/>
          <w:szCs w:val="16"/>
          <w:lang w:val="en-GB"/>
        </w:rPr>
      </w:pPr>
      <w:r w:rsidRPr="000A7B59">
        <w:rPr>
          <w:rStyle w:val="FootnoteReference"/>
          <w:sz w:val="16"/>
          <w:szCs w:val="16"/>
        </w:rPr>
        <w:footnoteRef/>
      </w:r>
      <w:r w:rsidRPr="009C1120">
        <w:rPr>
          <w:sz w:val="16"/>
          <w:szCs w:val="16"/>
          <w:lang w:val="en-US"/>
        </w:rPr>
        <w:t xml:space="preserve"> </w:t>
      </w:r>
      <w:r w:rsidRPr="000A7B59">
        <w:rPr>
          <w:sz w:val="16"/>
          <w:szCs w:val="16"/>
          <w:lang w:val="en-GB"/>
        </w:rPr>
        <w:t>Ibid</w:t>
      </w:r>
    </w:p>
  </w:footnote>
  <w:footnote w:id="13">
    <w:p w14:paraId="2076811D" w14:textId="1FECB7A4" w:rsidR="000F50FA" w:rsidRPr="000F50FA" w:rsidRDefault="000F50FA">
      <w:pPr>
        <w:pStyle w:val="FootnoteText"/>
        <w:rPr>
          <w:sz w:val="16"/>
          <w:szCs w:val="16"/>
          <w:lang w:val="en-GB"/>
        </w:rPr>
      </w:pPr>
      <w:r w:rsidRPr="000F50FA">
        <w:rPr>
          <w:rStyle w:val="FootnoteReference"/>
          <w:sz w:val="16"/>
          <w:szCs w:val="16"/>
        </w:rPr>
        <w:footnoteRef/>
      </w:r>
      <w:r w:rsidRPr="009C1120">
        <w:rPr>
          <w:sz w:val="16"/>
          <w:szCs w:val="16"/>
          <w:lang w:val="en-US"/>
        </w:rPr>
        <w:t xml:space="preserve"> World TVET Database, Namibia (UNEVCO 2015)</w:t>
      </w:r>
    </w:p>
  </w:footnote>
  <w:footnote w:id="14">
    <w:p w14:paraId="61160976" w14:textId="27E07070" w:rsidR="008E0286" w:rsidRPr="000A7B59" w:rsidRDefault="008E0286">
      <w:pPr>
        <w:pStyle w:val="FootnoteText"/>
        <w:rPr>
          <w:sz w:val="16"/>
          <w:szCs w:val="16"/>
          <w:lang w:val="en-GB"/>
        </w:rPr>
      </w:pPr>
      <w:r w:rsidRPr="000A7B59">
        <w:rPr>
          <w:rStyle w:val="FootnoteReference"/>
          <w:sz w:val="16"/>
          <w:szCs w:val="16"/>
        </w:rPr>
        <w:footnoteRef/>
      </w:r>
      <w:r w:rsidRPr="009C1120">
        <w:rPr>
          <w:sz w:val="16"/>
          <w:szCs w:val="16"/>
          <w:lang w:val="en-US"/>
        </w:rPr>
        <w:t xml:space="preserve"> </w:t>
      </w:r>
      <w:r w:rsidRPr="000A7B59">
        <w:rPr>
          <w:sz w:val="16"/>
          <w:szCs w:val="16"/>
          <w:lang w:val="en-GB"/>
        </w:rPr>
        <w:t>Ibid</w:t>
      </w:r>
    </w:p>
  </w:footnote>
  <w:footnote w:id="15">
    <w:p w14:paraId="5BB8BA80" w14:textId="77777777" w:rsidR="00FF4085" w:rsidRPr="000A7B59" w:rsidRDefault="00FF4085" w:rsidP="00FF4085">
      <w:pPr>
        <w:pStyle w:val="FootnoteText"/>
        <w:rPr>
          <w:sz w:val="16"/>
          <w:szCs w:val="16"/>
          <w:lang w:val="en-GB"/>
        </w:rPr>
      </w:pPr>
      <w:r w:rsidRPr="000A7B59">
        <w:rPr>
          <w:rStyle w:val="FootnoteReference"/>
          <w:sz w:val="16"/>
          <w:szCs w:val="16"/>
        </w:rPr>
        <w:footnoteRef/>
      </w:r>
      <w:r w:rsidRPr="009C1120">
        <w:rPr>
          <w:sz w:val="16"/>
          <w:szCs w:val="16"/>
          <w:lang w:val="en-US"/>
        </w:rPr>
        <w:t xml:space="preserve"> </w:t>
      </w:r>
      <w:r w:rsidRPr="000A7B59">
        <w:rPr>
          <w:sz w:val="16"/>
          <w:szCs w:val="16"/>
          <w:lang w:val="en-GB"/>
        </w:rPr>
        <w:t>TVET, Higher Education and Innovation Namibia (UNESCO 2016)</w:t>
      </w:r>
    </w:p>
  </w:footnote>
  <w:footnote w:id="16">
    <w:p w14:paraId="480A8598" w14:textId="69C0E78F" w:rsidR="008F3B66" w:rsidRPr="000A7B59" w:rsidRDefault="008F3B66" w:rsidP="008F3B66">
      <w:pPr>
        <w:pStyle w:val="FootnoteText"/>
        <w:rPr>
          <w:sz w:val="16"/>
          <w:szCs w:val="16"/>
          <w:lang w:val="en-GB"/>
        </w:rPr>
      </w:pPr>
      <w:r w:rsidRPr="000A7B59">
        <w:rPr>
          <w:rStyle w:val="FootnoteReference"/>
          <w:sz w:val="16"/>
          <w:szCs w:val="16"/>
        </w:rPr>
        <w:footnoteRef/>
      </w:r>
      <w:r w:rsidRPr="009C1120">
        <w:rPr>
          <w:sz w:val="16"/>
          <w:szCs w:val="16"/>
          <w:lang w:val="en-US"/>
        </w:rPr>
        <w:t xml:space="preserve"> </w:t>
      </w:r>
      <w:r w:rsidR="00436C0E" w:rsidRPr="000A7B59">
        <w:rPr>
          <w:sz w:val="16"/>
          <w:szCs w:val="16"/>
          <w:lang w:val="en-GB"/>
        </w:rPr>
        <w:t>Procedures and guidelines for the implementation of work-integrated learning policy in TVET (NTA 2020)</w:t>
      </w:r>
    </w:p>
  </w:footnote>
  <w:footnote w:id="17">
    <w:p w14:paraId="5159F77B" w14:textId="4C3AC278" w:rsidR="000A7B59" w:rsidRPr="000A7B59" w:rsidRDefault="000A7B59">
      <w:pPr>
        <w:pStyle w:val="FootnoteText"/>
        <w:rPr>
          <w:lang w:val="en-GB"/>
        </w:rPr>
      </w:pPr>
      <w:r w:rsidRPr="000A7B59">
        <w:rPr>
          <w:rStyle w:val="FootnoteReference"/>
          <w:sz w:val="16"/>
          <w:szCs w:val="16"/>
        </w:rPr>
        <w:footnoteRef/>
      </w:r>
      <w:r w:rsidRPr="000A7B59">
        <w:rPr>
          <w:sz w:val="16"/>
          <w:szCs w:val="16"/>
        </w:rPr>
        <w:t xml:space="preserve"> </w:t>
      </w:r>
      <w:r w:rsidRPr="000A7B59">
        <w:rPr>
          <w:sz w:val="16"/>
          <w:szCs w:val="16"/>
          <w:lang w:val="en-GB"/>
        </w:rPr>
        <w:t>Ibid</w:t>
      </w:r>
    </w:p>
  </w:footnote>
  <w:footnote w:id="18">
    <w:p w14:paraId="1C1E0F6E" w14:textId="0C71E8E5" w:rsidR="00CD524A" w:rsidRPr="00CD524A" w:rsidRDefault="00CD524A">
      <w:pPr>
        <w:pStyle w:val="FootnoteText"/>
        <w:rPr>
          <w:lang w:val="en-GB"/>
        </w:rPr>
      </w:pPr>
      <w:r>
        <w:rPr>
          <w:rStyle w:val="FootnoteReference"/>
        </w:rPr>
        <w:footnoteRef/>
      </w:r>
      <w:r>
        <w:t xml:space="preserve"> </w:t>
      </w:r>
      <w:r>
        <w:rPr>
          <w:lang w:val="en-GB"/>
        </w:rPr>
        <w:t xml:space="preserve">Ibid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8FF06" w14:textId="7F28AF3E" w:rsidR="00EC6998" w:rsidRDefault="00EC6998" w:rsidP="00EC6998">
    <w:pPr>
      <w:pStyle w:val="Header"/>
      <w:jc w:val="center"/>
    </w:pPr>
    <w:r>
      <w:rPr>
        <w:rFonts w:ascii="Arial" w:hAnsi="Arial" w:cs="Arial"/>
        <w:b/>
        <w:noProof/>
        <w:sz w:val="28"/>
        <w:szCs w:val="28"/>
        <w:lang w:val="en-US"/>
      </w:rPr>
      <w:drawing>
        <wp:anchor distT="0" distB="0" distL="114300" distR="114300" simplePos="0" relativeHeight="251658240" behindDoc="0" locked="0" layoutInCell="1" allowOverlap="1" wp14:anchorId="56D7D1D0" wp14:editId="4C222F10">
          <wp:simplePos x="0" y="0"/>
          <wp:positionH relativeFrom="margin">
            <wp:align>center</wp:align>
          </wp:positionH>
          <wp:positionV relativeFrom="paragraph">
            <wp:posOffset>-263842</wp:posOffset>
          </wp:positionV>
          <wp:extent cx="2551052" cy="584616"/>
          <wp:effectExtent l="0" t="0" r="1905" b="635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DA-NEPAD_LOGO_EN.LOWRES.jpg"/>
                  <pic:cNvPicPr/>
                </pic:nvPicPr>
                <pic:blipFill>
                  <a:blip r:embed="rId1">
                    <a:extLst>
                      <a:ext uri="{28A0092B-C50C-407E-A947-70E740481C1C}">
                        <a14:useLocalDpi xmlns:a14="http://schemas.microsoft.com/office/drawing/2010/main" val="0"/>
                      </a:ext>
                    </a:extLst>
                  </a:blip>
                  <a:stretch>
                    <a:fillRect/>
                  </a:stretch>
                </pic:blipFill>
                <pic:spPr>
                  <a:xfrm>
                    <a:off x="0" y="0"/>
                    <a:ext cx="2551052" cy="5846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968"/>
    <w:multiLevelType w:val="hybridMultilevel"/>
    <w:tmpl w:val="BC349CB0"/>
    <w:lvl w:ilvl="0" w:tplc="DFA2C97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B46CA"/>
    <w:multiLevelType w:val="hybridMultilevel"/>
    <w:tmpl w:val="D33062FA"/>
    <w:lvl w:ilvl="0" w:tplc="08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9E0546C"/>
    <w:multiLevelType w:val="hybridMultilevel"/>
    <w:tmpl w:val="F11E8A8C"/>
    <w:lvl w:ilvl="0" w:tplc="7646E190">
      <w:start w:val="1"/>
      <w:numFmt w:val="bullet"/>
      <w:lvlText w:val=""/>
      <w:lvlJc w:val="left"/>
      <w:pPr>
        <w:ind w:left="720" w:hanging="360"/>
      </w:pPr>
      <w:rPr>
        <w:rFonts w:ascii="Symbol" w:hAnsi="Symbol" w:hint="default"/>
      </w:rPr>
    </w:lvl>
    <w:lvl w:ilvl="1" w:tplc="CE8453F6" w:tentative="1">
      <w:start w:val="1"/>
      <w:numFmt w:val="bullet"/>
      <w:lvlText w:val="o"/>
      <w:lvlJc w:val="left"/>
      <w:pPr>
        <w:ind w:left="1440" w:hanging="360"/>
      </w:pPr>
      <w:rPr>
        <w:rFonts w:ascii="Courier New" w:hAnsi="Courier New" w:cs="Courier New" w:hint="default"/>
      </w:rPr>
    </w:lvl>
    <w:lvl w:ilvl="2" w:tplc="79ECBDC6" w:tentative="1">
      <w:start w:val="1"/>
      <w:numFmt w:val="bullet"/>
      <w:lvlText w:val=""/>
      <w:lvlJc w:val="left"/>
      <w:pPr>
        <w:ind w:left="2160" w:hanging="360"/>
      </w:pPr>
      <w:rPr>
        <w:rFonts w:ascii="Wingdings" w:hAnsi="Wingdings" w:hint="default"/>
      </w:rPr>
    </w:lvl>
    <w:lvl w:ilvl="3" w:tplc="D8BC623A" w:tentative="1">
      <w:start w:val="1"/>
      <w:numFmt w:val="bullet"/>
      <w:lvlText w:val=""/>
      <w:lvlJc w:val="left"/>
      <w:pPr>
        <w:ind w:left="2880" w:hanging="360"/>
      </w:pPr>
      <w:rPr>
        <w:rFonts w:ascii="Symbol" w:hAnsi="Symbol" w:hint="default"/>
      </w:rPr>
    </w:lvl>
    <w:lvl w:ilvl="4" w:tplc="B58EA0E4" w:tentative="1">
      <w:start w:val="1"/>
      <w:numFmt w:val="bullet"/>
      <w:lvlText w:val="o"/>
      <w:lvlJc w:val="left"/>
      <w:pPr>
        <w:ind w:left="3600" w:hanging="360"/>
      </w:pPr>
      <w:rPr>
        <w:rFonts w:ascii="Courier New" w:hAnsi="Courier New" w:cs="Courier New" w:hint="default"/>
      </w:rPr>
    </w:lvl>
    <w:lvl w:ilvl="5" w:tplc="D5B4E28C" w:tentative="1">
      <w:start w:val="1"/>
      <w:numFmt w:val="bullet"/>
      <w:lvlText w:val=""/>
      <w:lvlJc w:val="left"/>
      <w:pPr>
        <w:ind w:left="4320" w:hanging="360"/>
      </w:pPr>
      <w:rPr>
        <w:rFonts w:ascii="Wingdings" w:hAnsi="Wingdings" w:hint="default"/>
      </w:rPr>
    </w:lvl>
    <w:lvl w:ilvl="6" w:tplc="AA38B9BC" w:tentative="1">
      <w:start w:val="1"/>
      <w:numFmt w:val="bullet"/>
      <w:lvlText w:val=""/>
      <w:lvlJc w:val="left"/>
      <w:pPr>
        <w:ind w:left="5040" w:hanging="360"/>
      </w:pPr>
      <w:rPr>
        <w:rFonts w:ascii="Symbol" w:hAnsi="Symbol" w:hint="default"/>
      </w:rPr>
    </w:lvl>
    <w:lvl w:ilvl="7" w:tplc="06EA9B04" w:tentative="1">
      <w:start w:val="1"/>
      <w:numFmt w:val="bullet"/>
      <w:lvlText w:val="o"/>
      <w:lvlJc w:val="left"/>
      <w:pPr>
        <w:ind w:left="5760" w:hanging="360"/>
      </w:pPr>
      <w:rPr>
        <w:rFonts w:ascii="Courier New" w:hAnsi="Courier New" w:cs="Courier New" w:hint="default"/>
      </w:rPr>
    </w:lvl>
    <w:lvl w:ilvl="8" w:tplc="6D6ADC88" w:tentative="1">
      <w:start w:val="1"/>
      <w:numFmt w:val="bullet"/>
      <w:lvlText w:val=""/>
      <w:lvlJc w:val="left"/>
      <w:pPr>
        <w:ind w:left="6480" w:hanging="360"/>
      </w:pPr>
      <w:rPr>
        <w:rFonts w:ascii="Wingdings" w:hAnsi="Wingdings" w:hint="default"/>
      </w:rPr>
    </w:lvl>
  </w:abstractNum>
  <w:abstractNum w:abstractNumId="3" w15:restartNumberingAfterBreak="0">
    <w:nsid w:val="203543B4"/>
    <w:multiLevelType w:val="hybridMultilevel"/>
    <w:tmpl w:val="099AA2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3121014C"/>
    <w:multiLevelType w:val="multilevel"/>
    <w:tmpl w:val="BB507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D66007"/>
    <w:multiLevelType w:val="hybridMultilevel"/>
    <w:tmpl w:val="8AAA0FF4"/>
    <w:lvl w:ilvl="0" w:tplc="C7DAB0E4">
      <w:start w:val="1"/>
      <w:numFmt w:val="decimal"/>
      <w:lvlText w:val="%1."/>
      <w:lvlJc w:val="left"/>
      <w:pPr>
        <w:ind w:left="720" w:hanging="360"/>
      </w:pPr>
    </w:lvl>
    <w:lvl w:ilvl="1" w:tplc="C640088A" w:tentative="1">
      <w:start w:val="1"/>
      <w:numFmt w:val="lowerLetter"/>
      <w:lvlText w:val="%2."/>
      <w:lvlJc w:val="left"/>
      <w:pPr>
        <w:ind w:left="1440" w:hanging="360"/>
      </w:pPr>
    </w:lvl>
    <w:lvl w:ilvl="2" w:tplc="E772ACCE" w:tentative="1">
      <w:start w:val="1"/>
      <w:numFmt w:val="lowerRoman"/>
      <w:lvlText w:val="%3."/>
      <w:lvlJc w:val="right"/>
      <w:pPr>
        <w:ind w:left="2160" w:hanging="180"/>
      </w:pPr>
    </w:lvl>
    <w:lvl w:ilvl="3" w:tplc="CF160548" w:tentative="1">
      <w:start w:val="1"/>
      <w:numFmt w:val="decimal"/>
      <w:lvlText w:val="%4."/>
      <w:lvlJc w:val="left"/>
      <w:pPr>
        <w:ind w:left="2880" w:hanging="360"/>
      </w:pPr>
    </w:lvl>
    <w:lvl w:ilvl="4" w:tplc="F8DA7E1A" w:tentative="1">
      <w:start w:val="1"/>
      <w:numFmt w:val="lowerLetter"/>
      <w:lvlText w:val="%5."/>
      <w:lvlJc w:val="left"/>
      <w:pPr>
        <w:ind w:left="3600" w:hanging="360"/>
      </w:pPr>
    </w:lvl>
    <w:lvl w:ilvl="5" w:tplc="30A48E66" w:tentative="1">
      <w:start w:val="1"/>
      <w:numFmt w:val="lowerRoman"/>
      <w:lvlText w:val="%6."/>
      <w:lvlJc w:val="right"/>
      <w:pPr>
        <w:ind w:left="4320" w:hanging="180"/>
      </w:pPr>
    </w:lvl>
    <w:lvl w:ilvl="6" w:tplc="4D30C30C" w:tentative="1">
      <w:start w:val="1"/>
      <w:numFmt w:val="decimal"/>
      <w:lvlText w:val="%7."/>
      <w:lvlJc w:val="left"/>
      <w:pPr>
        <w:ind w:left="5040" w:hanging="360"/>
      </w:pPr>
    </w:lvl>
    <w:lvl w:ilvl="7" w:tplc="3DD6A314" w:tentative="1">
      <w:start w:val="1"/>
      <w:numFmt w:val="lowerLetter"/>
      <w:lvlText w:val="%8."/>
      <w:lvlJc w:val="left"/>
      <w:pPr>
        <w:ind w:left="5760" w:hanging="360"/>
      </w:pPr>
    </w:lvl>
    <w:lvl w:ilvl="8" w:tplc="D7600E8E" w:tentative="1">
      <w:start w:val="1"/>
      <w:numFmt w:val="lowerRoman"/>
      <w:lvlText w:val="%9."/>
      <w:lvlJc w:val="right"/>
      <w:pPr>
        <w:ind w:left="6480" w:hanging="180"/>
      </w:pPr>
    </w:lvl>
  </w:abstractNum>
  <w:abstractNum w:abstractNumId="6" w15:restartNumberingAfterBreak="0">
    <w:nsid w:val="496D2114"/>
    <w:multiLevelType w:val="hybridMultilevel"/>
    <w:tmpl w:val="4E28C710"/>
    <w:lvl w:ilvl="0" w:tplc="2ADEE38E">
      <w:start w:val="1"/>
      <w:numFmt w:val="decimal"/>
      <w:lvlText w:val="%1."/>
      <w:lvlJc w:val="left"/>
      <w:pPr>
        <w:ind w:left="720" w:hanging="360"/>
      </w:pPr>
      <w:rPr>
        <w:rFonts w:hint="default"/>
      </w:rPr>
    </w:lvl>
    <w:lvl w:ilvl="1" w:tplc="3F2AAAD6" w:tentative="1">
      <w:start w:val="1"/>
      <w:numFmt w:val="lowerLetter"/>
      <w:lvlText w:val="%2."/>
      <w:lvlJc w:val="left"/>
      <w:pPr>
        <w:ind w:left="1440" w:hanging="360"/>
      </w:pPr>
    </w:lvl>
    <w:lvl w:ilvl="2" w:tplc="4296DB1E" w:tentative="1">
      <w:start w:val="1"/>
      <w:numFmt w:val="lowerRoman"/>
      <w:lvlText w:val="%3."/>
      <w:lvlJc w:val="right"/>
      <w:pPr>
        <w:ind w:left="2160" w:hanging="180"/>
      </w:pPr>
    </w:lvl>
    <w:lvl w:ilvl="3" w:tplc="C9A69DC6" w:tentative="1">
      <w:start w:val="1"/>
      <w:numFmt w:val="decimal"/>
      <w:lvlText w:val="%4."/>
      <w:lvlJc w:val="left"/>
      <w:pPr>
        <w:ind w:left="2880" w:hanging="360"/>
      </w:pPr>
    </w:lvl>
    <w:lvl w:ilvl="4" w:tplc="342A7B22" w:tentative="1">
      <w:start w:val="1"/>
      <w:numFmt w:val="lowerLetter"/>
      <w:lvlText w:val="%5."/>
      <w:lvlJc w:val="left"/>
      <w:pPr>
        <w:ind w:left="3600" w:hanging="360"/>
      </w:pPr>
    </w:lvl>
    <w:lvl w:ilvl="5" w:tplc="339A0E18" w:tentative="1">
      <w:start w:val="1"/>
      <w:numFmt w:val="lowerRoman"/>
      <w:lvlText w:val="%6."/>
      <w:lvlJc w:val="right"/>
      <w:pPr>
        <w:ind w:left="4320" w:hanging="180"/>
      </w:pPr>
    </w:lvl>
    <w:lvl w:ilvl="6" w:tplc="1DAA7E6A" w:tentative="1">
      <w:start w:val="1"/>
      <w:numFmt w:val="decimal"/>
      <w:lvlText w:val="%7."/>
      <w:lvlJc w:val="left"/>
      <w:pPr>
        <w:ind w:left="5040" w:hanging="360"/>
      </w:pPr>
    </w:lvl>
    <w:lvl w:ilvl="7" w:tplc="1E60C368" w:tentative="1">
      <w:start w:val="1"/>
      <w:numFmt w:val="lowerLetter"/>
      <w:lvlText w:val="%8."/>
      <w:lvlJc w:val="left"/>
      <w:pPr>
        <w:ind w:left="5760" w:hanging="360"/>
      </w:pPr>
    </w:lvl>
    <w:lvl w:ilvl="8" w:tplc="0C58D50C" w:tentative="1">
      <w:start w:val="1"/>
      <w:numFmt w:val="lowerRoman"/>
      <w:lvlText w:val="%9."/>
      <w:lvlJc w:val="right"/>
      <w:pPr>
        <w:ind w:left="6480" w:hanging="180"/>
      </w:pPr>
    </w:lvl>
  </w:abstractNum>
  <w:abstractNum w:abstractNumId="7" w15:restartNumberingAfterBreak="0">
    <w:nsid w:val="59862283"/>
    <w:multiLevelType w:val="hybridMultilevel"/>
    <w:tmpl w:val="DF4CF134"/>
    <w:lvl w:ilvl="0" w:tplc="D7B0FFF0">
      <w:start w:val="1"/>
      <w:numFmt w:val="bullet"/>
      <w:lvlText w:val=""/>
      <w:lvlJc w:val="left"/>
      <w:pPr>
        <w:ind w:left="720" w:hanging="360"/>
      </w:pPr>
      <w:rPr>
        <w:rFonts w:ascii="Symbol" w:hAnsi="Symbol" w:hint="default"/>
      </w:rPr>
    </w:lvl>
    <w:lvl w:ilvl="1" w:tplc="5A96C65E" w:tentative="1">
      <w:start w:val="1"/>
      <w:numFmt w:val="bullet"/>
      <w:lvlText w:val="o"/>
      <w:lvlJc w:val="left"/>
      <w:pPr>
        <w:ind w:left="1440" w:hanging="360"/>
      </w:pPr>
      <w:rPr>
        <w:rFonts w:ascii="Courier New" w:hAnsi="Courier New" w:cs="Courier New" w:hint="default"/>
      </w:rPr>
    </w:lvl>
    <w:lvl w:ilvl="2" w:tplc="9DF2B77A" w:tentative="1">
      <w:start w:val="1"/>
      <w:numFmt w:val="bullet"/>
      <w:lvlText w:val=""/>
      <w:lvlJc w:val="left"/>
      <w:pPr>
        <w:ind w:left="2160" w:hanging="360"/>
      </w:pPr>
      <w:rPr>
        <w:rFonts w:ascii="Wingdings" w:hAnsi="Wingdings" w:hint="default"/>
      </w:rPr>
    </w:lvl>
    <w:lvl w:ilvl="3" w:tplc="7694675E" w:tentative="1">
      <w:start w:val="1"/>
      <w:numFmt w:val="bullet"/>
      <w:lvlText w:val=""/>
      <w:lvlJc w:val="left"/>
      <w:pPr>
        <w:ind w:left="2880" w:hanging="360"/>
      </w:pPr>
      <w:rPr>
        <w:rFonts w:ascii="Symbol" w:hAnsi="Symbol" w:hint="default"/>
      </w:rPr>
    </w:lvl>
    <w:lvl w:ilvl="4" w:tplc="ECE47382" w:tentative="1">
      <w:start w:val="1"/>
      <w:numFmt w:val="bullet"/>
      <w:lvlText w:val="o"/>
      <w:lvlJc w:val="left"/>
      <w:pPr>
        <w:ind w:left="3600" w:hanging="360"/>
      </w:pPr>
      <w:rPr>
        <w:rFonts w:ascii="Courier New" w:hAnsi="Courier New" w:cs="Courier New" w:hint="default"/>
      </w:rPr>
    </w:lvl>
    <w:lvl w:ilvl="5" w:tplc="CD329E54" w:tentative="1">
      <w:start w:val="1"/>
      <w:numFmt w:val="bullet"/>
      <w:lvlText w:val=""/>
      <w:lvlJc w:val="left"/>
      <w:pPr>
        <w:ind w:left="4320" w:hanging="360"/>
      </w:pPr>
      <w:rPr>
        <w:rFonts w:ascii="Wingdings" w:hAnsi="Wingdings" w:hint="default"/>
      </w:rPr>
    </w:lvl>
    <w:lvl w:ilvl="6" w:tplc="98D23996" w:tentative="1">
      <w:start w:val="1"/>
      <w:numFmt w:val="bullet"/>
      <w:lvlText w:val=""/>
      <w:lvlJc w:val="left"/>
      <w:pPr>
        <w:ind w:left="5040" w:hanging="360"/>
      </w:pPr>
      <w:rPr>
        <w:rFonts w:ascii="Symbol" w:hAnsi="Symbol" w:hint="default"/>
      </w:rPr>
    </w:lvl>
    <w:lvl w:ilvl="7" w:tplc="A0B4B1FE" w:tentative="1">
      <w:start w:val="1"/>
      <w:numFmt w:val="bullet"/>
      <w:lvlText w:val="o"/>
      <w:lvlJc w:val="left"/>
      <w:pPr>
        <w:ind w:left="5760" w:hanging="360"/>
      </w:pPr>
      <w:rPr>
        <w:rFonts w:ascii="Courier New" w:hAnsi="Courier New" w:cs="Courier New" w:hint="default"/>
      </w:rPr>
    </w:lvl>
    <w:lvl w:ilvl="8" w:tplc="CE2CE2B2" w:tentative="1">
      <w:start w:val="1"/>
      <w:numFmt w:val="bullet"/>
      <w:lvlText w:val=""/>
      <w:lvlJc w:val="left"/>
      <w:pPr>
        <w:ind w:left="6480" w:hanging="360"/>
      </w:pPr>
      <w:rPr>
        <w:rFonts w:ascii="Wingdings" w:hAnsi="Wingdings" w:hint="default"/>
      </w:rPr>
    </w:lvl>
  </w:abstractNum>
  <w:abstractNum w:abstractNumId="8" w15:restartNumberingAfterBreak="0">
    <w:nsid w:val="5F8A74DA"/>
    <w:multiLevelType w:val="hybridMultilevel"/>
    <w:tmpl w:val="508C8C84"/>
    <w:lvl w:ilvl="0" w:tplc="9E84CC32">
      <w:start w:val="1"/>
      <w:numFmt w:val="bullet"/>
      <w:lvlText w:val=""/>
      <w:lvlJc w:val="left"/>
      <w:pPr>
        <w:ind w:left="720" w:hanging="360"/>
      </w:pPr>
      <w:rPr>
        <w:rFonts w:ascii="Symbol" w:hAnsi="Symbol" w:hint="default"/>
      </w:rPr>
    </w:lvl>
    <w:lvl w:ilvl="1" w:tplc="4052FF24" w:tentative="1">
      <w:start w:val="1"/>
      <w:numFmt w:val="bullet"/>
      <w:lvlText w:val="o"/>
      <w:lvlJc w:val="left"/>
      <w:pPr>
        <w:ind w:left="1440" w:hanging="360"/>
      </w:pPr>
      <w:rPr>
        <w:rFonts w:ascii="Courier New" w:hAnsi="Courier New" w:cs="Courier New" w:hint="default"/>
      </w:rPr>
    </w:lvl>
    <w:lvl w:ilvl="2" w:tplc="93A6CC94" w:tentative="1">
      <w:start w:val="1"/>
      <w:numFmt w:val="bullet"/>
      <w:lvlText w:val=""/>
      <w:lvlJc w:val="left"/>
      <w:pPr>
        <w:ind w:left="2160" w:hanging="360"/>
      </w:pPr>
      <w:rPr>
        <w:rFonts w:ascii="Wingdings" w:hAnsi="Wingdings" w:hint="default"/>
      </w:rPr>
    </w:lvl>
    <w:lvl w:ilvl="3" w:tplc="D1D8D0C0" w:tentative="1">
      <w:start w:val="1"/>
      <w:numFmt w:val="bullet"/>
      <w:lvlText w:val=""/>
      <w:lvlJc w:val="left"/>
      <w:pPr>
        <w:ind w:left="2880" w:hanging="360"/>
      </w:pPr>
      <w:rPr>
        <w:rFonts w:ascii="Symbol" w:hAnsi="Symbol" w:hint="default"/>
      </w:rPr>
    </w:lvl>
    <w:lvl w:ilvl="4" w:tplc="DF4CEB32" w:tentative="1">
      <w:start w:val="1"/>
      <w:numFmt w:val="bullet"/>
      <w:lvlText w:val="o"/>
      <w:lvlJc w:val="left"/>
      <w:pPr>
        <w:ind w:left="3600" w:hanging="360"/>
      </w:pPr>
      <w:rPr>
        <w:rFonts w:ascii="Courier New" w:hAnsi="Courier New" w:cs="Courier New" w:hint="default"/>
      </w:rPr>
    </w:lvl>
    <w:lvl w:ilvl="5" w:tplc="7C1486E6" w:tentative="1">
      <w:start w:val="1"/>
      <w:numFmt w:val="bullet"/>
      <w:lvlText w:val=""/>
      <w:lvlJc w:val="left"/>
      <w:pPr>
        <w:ind w:left="4320" w:hanging="360"/>
      </w:pPr>
      <w:rPr>
        <w:rFonts w:ascii="Wingdings" w:hAnsi="Wingdings" w:hint="default"/>
      </w:rPr>
    </w:lvl>
    <w:lvl w:ilvl="6" w:tplc="895C229A" w:tentative="1">
      <w:start w:val="1"/>
      <w:numFmt w:val="bullet"/>
      <w:lvlText w:val=""/>
      <w:lvlJc w:val="left"/>
      <w:pPr>
        <w:ind w:left="5040" w:hanging="360"/>
      </w:pPr>
      <w:rPr>
        <w:rFonts w:ascii="Symbol" w:hAnsi="Symbol" w:hint="default"/>
      </w:rPr>
    </w:lvl>
    <w:lvl w:ilvl="7" w:tplc="F482AB08" w:tentative="1">
      <w:start w:val="1"/>
      <w:numFmt w:val="bullet"/>
      <w:lvlText w:val="o"/>
      <w:lvlJc w:val="left"/>
      <w:pPr>
        <w:ind w:left="5760" w:hanging="360"/>
      </w:pPr>
      <w:rPr>
        <w:rFonts w:ascii="Courier New" w:hAnsi="Courier New" w:cs="Courier New" w:hint="default"/>
      </w:rPr>
    </w:lvl>
    <w:lvl w:ilvl="8" w:tplc="D7568D54" w:tentative="1">
      <w:start w:val="1"/>
      <w:numFmt w:val="bullet"/>
      <w:lvlText w:val=""/>
      <w:lvlJc w:val="left"/>
      <w:pPr>
        <w:ind w:left="6480" w:hanging="360"/>
      </w:pPr>
      <w:rPr>
        <w:rFonts w:ascii="Wingdings" w:hAnsi="Wingdings" w:hint="default"/>
      </w:rPr>
    </w:lvl>
  </w:abstractNum>
  <w:abstractNum w:abstractNumId="9" w15:restartNumberingAfterBreak="0">
    <w:nsid w:val="60A26630"/>
    <w:multiLevelType w:val="hybridMultilevel"/>
    <w:tmpl w:val="180269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5AA017D"/>
    <w:multiLevelType w:val="hybridMultilevel"/>
    <w:tmpl w:val="899471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C2B6FB1"/>
    <w:multiLevelType w:val="hybridMultilevel"/>
    <w:tmpl w:val="6DAE3A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10"/>
  </w:num>
  <w:num w:numId="6">
    <w:abstractNumId w:val="9"/>
  </w:num>
  <w:num w:numId="7">
    <w:abstractNumId w:val="3"/>
  </w:num>
  <w:num w:numId="8">
    <w:abstractNumId w:val="4"/>
  </w:num>
  <w:num w:numId="9">
    <w:abstractNumId w:val="0"/>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D0"/>
    <w:rsid w:val="00011458"/>
    <w:rsid w:val="000222BD"/>
    <w:rsid w:val="00032814"/>
    <w:rsid w:val="000515E6"/>
    <w:rsid w:val="000557BD"/>
    <w:rsid w:val="00061C62"/>
    <w:rsid w:val="00091877"/>
    <w:rsid w:val="0009348D"/>
    <w:rsid w:val="000A4D8B"/>
    <w:rsid w:val="000A7B59"/>
    <w:rsid w:val="000B6496"/>
    <w:rsid w:val="000C6877"/>
    <w:rsid w:val="000D5BCF"/>
    <w:rsid w:val="000D61FE"/>
    <w:rsid w:val="000F50FA"/>
    <w:rsid w:val="00102A36"/>
    <w:rsid w:val="00111106"/>
    <w:rsid w:val="00120110"/>
    <w:rsid w:val="00133051"/>
    <w:rsid w:val="0014036C"/>
    <w:rsid w:val="00141654"/>
    <w:rsid w:val="00151461"/>
    <w:rsid w:val="00157E8F"/>
    <w:rsid w:val="001936FC"/>
    <w:rsid w:val="001B05BB"/>
    <w:rsid w:val="001B1689"/>
    <w:rsid w:val="001C6B44"/>
    <w:rsid w:val="001C6B9B"/>
    <w:rsid w:val="001C7773"/>
    <w:rsid w:val="001D0BA5"/>
    <w:rsid w:val="001D3B61"/>
    <w:rsid w:val="00203730"/>
    <w:rsid w:val="0020680A"/>
    <w:rsid w:val="002215B5"/>
    <w:rsid w:val="002275DE"/>
    <w:rsid w:val="00232419"/>
    <w:rsid w:val="0024390D"/>
    <w:rsid w:val="0025341E"/>
    <w:rsid w:val="0029196F"/>
    <w:rsid w:val="002C1ADE"/>
    <w:rsid w:val="002E11A3"/>
    <w:rsid w:val="002F2A98"/>
    <w:rsid w:val="00333906"/>
    <w:rsid w:val="00335C6E"/>
    <w:rsid w:val="00340CE6"/>
    <w:rsid w:val="00343343"/>
    <w:rsid w:val="00345382"/>
    <w:rsid w:val="003711F2"/>
    <w:rsid w:val="00372112"/>
    <w:rsid w:val="00375367"/>
    <w:rsid w:val="0038630B"/>
    <w:rsid w:val="003869C0"/>
    <w:rsid w:val="003946AE"/>
    <w:rsid w:val="003B5E2C"/>
    <w:rsid w:val="003D20FA"/>
    <w:rsid w:val="003D3F02"/>
    <w:rsid w:val="003E6CD2"/>
    <w:rsid w:val="003F3688"/>
    <w:rsid w:val="00414EA4"/>
    <w:rsid w:val="00427145"/>
    <w:rsid w:val="00436C0E"/>
    <w:rsid w:val="004424B9"/>
    <w:rsid w:val="004547A3"/>
    <w:rsid w:val="004558AF"/>
    <w:rsid w:val="00462314"/>
    <w:rsid w:val="00491855"/>
    <w:rsid w:val="004B71F7"/>
    <w:rsid w:val="004D2A82"/>
    <w:rsid w:val="004E578C"/>
    <w:rsid w:val="004F0CE5"/>
    <w:rsid w:val="00506AD0"/>
    <w:rsid w:val="00507537"/>
    <w:rsid w:val="005076B3"/>
    <w:rsid w:val="005165B4"/>
    <w:rsid w:val="0052261C"/>
    <w:rsid w:val="00542B39"/>
    <w:rsid w:val="00545AC7"/>
    <w:rsid w:val="005477E8"/>
    <w:rsid w:val="00591549"/>
    <w:rsid w:val="00592525"/>
    <w:rsid w:val="005945CE"/>
    <w:rsid w:val="005A5717"/>
    <w:rsid w:val="005A6200"/>
    <w:rsid w:val="005A7ACB"/>
    <w:rsid w:val="005D22E8"/>
    <w:rsid w:val="005D6774"/>
    <w:rsid w:val="005F1F4B"/>
    <w:rsid w:val="005F2390"/>
    <w:rsid w:val="005F47EB"/>
    <w:rsid w:val="00602765"/>
    <w:rsid w:val="00606265"/>
    <w:rsid w:val="00614C10"/>
    <w:rsid w:val="00667C11"/>
    <w:rsid w:val="00670B24"/>
    <w:rsid w:val="00674571"/>
    <w:rsid w:val="006A16B6"/>
    <w:rsid w:val="006A63B8"/>
    <w:rsid w:val="006B6210"/>
    <w:rsid w:val="006D3159"/>
    <w:rsid w:val="006D7D7A"/>
    <w:rsid w:val="006E6FD2"/>
    <w:rsid w:val="006F337A"/>
    <w:rsid w:val="00727DEE"/>
    <w:rsid w:val="007569D2"/>
    <w:rsid w:val="00756C00"/>
    <w:rsid w:val="007642AC"/>
    <w:rsid w:val="00765C8C"/>
    <w:rsid w:val="0076666C"/>
    <w:rsid w:val="007720E6"/>
    <w:rsid w:val="00773492"/>
    <w:rsid w:val="0077549A"/>
    <w:rsid w:val="00792517"/>
    <w:rsid w:val="00797AC2"/>
    <w:rsid w:val="007B7334"/>
    <w:rsid w:val="00806C53"/>
    <w:rsid w:val="008121A4"/>
    <w:rsid w:val="008138DC"/>
    <w:rsid w:val="0082176A"/>
    <w:rsid w:val="0083700B"/>
    <w:rsid w:val="008456D3"/>
    <w:rsid w:val="0086612B"/>
    <w:rsid w:val="00867C0B"/>
    <w:rsid w:val="008776BC"/>
    <w:rsid w:val="0089582D"/>
    <w:rsid w:val="008B69CD"/>
    <w:rsid w:val="008D0D63"/>
    <w:rsid w:val="008E0286"/>
    <w:rsid w:val="008E31DD"/>
    <w:rsid w:val="008F3B66"/>
    <w:rsid w:val="00905477"/>
    <w:rsid w:val="009106C8"/>
    <w:rsid w:val="0091179F"/>
    <w:rsid w:val="00921102"/>
    <w:rsid w:val="009245B5"/>
    <w:rsid w:val="00942979"/>
    <w:rsid w:val="00951E16"/>
    <w:rsid w:val="009547E8"/>
    <w:rsid w:val="00955783"/>
    <w:rsid w:val="009610EA"/>
    <w:rsid w:val="0097082D"/>
    <w:rsid w:val="00982E5D"/>
    <w:rsid w:val="00984FD1"/>
    <w:rsid w:val="009A188E"/>
    <w:rsid w:val="009B59CD"/>
    <w:rsid w:val="009C09E1"/>
    <w:rsid w:val="009C1120"/>
    <w:rsid w:val="009D6CB6"/>
    <w:rsid w:val="009E0B86"/>
    <w:rsid w:val="009E19CA"/>
    <w:rsid w:val="00A02B5D"/>
    <w:rsid w:val="00A21633"/>
    <w:rsid w:val="00A31CAA"/>
    <w:rsid w:val="00A60275"/>
    <w:rsid w:val="00A76A67"/>
    <w:rsid w:val="00A76B90"/>
    <w:rsid w:val="00A936DF"/>
    <w:rsid w:val="00AB1202"/>
    <w:rsid w:val="00AC4C80"/>
    <w:rsid w:val="00AD4666"/>
    <w:rsid w:val="00AE548A"/>
    <w:rsid w:val="00AE7D71"/>
    <w:rsid w:val="00AF60EE"/>
    <w:rsid w:val="00B119C2"/>
    <w:rsid w:val="00B22B17"/>
    <w:rsid w:val="00B2488D"/>
    <w:rsid w:val="00B324CF"/>
    <w:rsid w:val="00B36A69"/>
    <w:rsid w:val="00B505F6"/>
    <w:rsid w:val="00B52F47"/>
    <w:rsid w:val="00B5397F"/>
    <w:rsid w:val="00B6458E"/>
    <w:rsid w:val="00B70292"/>
    <w:rsid w:val="00B73FDE"/>
    <w:rsid w:val="00B8569D"/>
    <w:rsid w:val="00B957D8"/>
    <w:rsid w:val="00B96380"/>
    <w:rsid w:val="00BA5145"/>
    <w:rsid w:val="00BC14AD"/>
    <w:rsid w:val="00BC276E"/>
    <w:rsid w:val="00BE18B9"/>
    <w:rsid w:val="00BE2B1A"/>
    <w:rsid w:val="00C100B5"/>
    <w:rsid w:val="00C13228"/>
    <w:rsid w:val="00C24341"/>
    <w:rsid w:val="00C34647"/>
    <w:rsid w:val="00C7761A"/>
    <w:rsid w:val="00CA445B"/>
    <w:rsid w:val="00CC6B77"/>
    <w:rsid w:val="00CD524A"/>
    <w:rsid w:val="00CD62C7"/>
    <w:rsid w:val="00CD7ACD"/>
    <w:rsid w:val="00CF0B66"/>
    <w:rsid w:val="00D0002D"/>
    <w:rsid w:val="00D0444E"/>
    <w:rsid w:val="00D0596B"/>
    <w:rsid w:val="00D1472B"/>
    <w:rsid w:val="00D274B4"/>
    <w:rsid w:val="00D27ADB"/>
    <w:rsid w:val="00D34A41"/>
    <w:rsid w:val="00D43D1E"/>
    <w:rsid w:val="00DA31A9"/>
    <w:rsid w:val="00DA4CC6"/>
    <w:rsid w:val="00DC5A48"/>
    <w:rsid w:val="00DD3228"/>
    <w:rsid w:val="00E0558E"/>
    <w:rsid w:val="00E10118"/>
    <w:rsid w:val="00E16555"/>
    <w:rsid w:val="00E267E4"/>
    <w:rsid w:val="00E37A12"/>
    <w:rsid w:val="00E6781D"/>
    <w:rsid w:val="00E75440"/>
    <w:rsid w:val="00E76ED2"/>
    <w:rsid w:val="00E919C9"/>
    <w:rsid w:val="00E94167"/>
    <w:rsid w:val="00E95434"/>
    <w:rsid w:val="00EA2BBF"/>
    <w:rsid w:val="00EC5904"/>
    <w:rsid w:val="00EC6998"/>
    <w:rsid w:val="00EC70A2"/>
    <w:rsid w:val="00ED2152"/>
    <w:rsid w:val="00EE031A"/>
    <w:rsid w:val="00F1557F"/>
    <w:rsid w:val="00F15638"/>
    <w:rsid w:val="00F24C67"/>
    <w:rsid w:val="00F44063"/>
    <w:rsid w:val="00F47538"/>
    <w:rsid w:val="00F5461F"/>
    <w:rsid w:val="00F5605B"/>
    <w:rsid w:val="00F56638"/>
    <w:rsid w:val="00F70791"/>
    <w:rsid w:val="00F7264C"/>
    <w:rsid w:val="00F8235B"/>
    <w:rsid w:val="00F90E0B"/>
    <w:rsid w:val="00FA6CD0"/>
    <w:rsid w:val="00FD2486"/>
    <w:rsid w:val="00FE3FEF"/>
    <w:rsid w:val="00FF4085"/>
    <w:rsid w:val="00FF73D6"/>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566E1"/>
  <w15:chartTrackingRefBased/>
  <w15:docId w15:val="{969BF06C-4263-451C-AF78-3330B7CD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4F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Gitter1">
    <w:name w:val="Tabel - Gitter1"/>
    <w:basedOn w:val="TableNormal"/>
    <w:next w:val="TableGrid"/>
    <w:uiPriority w:val="59"/>
    <w:rsid w:val="000A4D8B"/>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A4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2BD"/>
    <w:pPr>
      <w:ind w:left="720"/>
      <w:contextualSpacing/>
    </w:pPr>
  </w:style>
  <w:style w:type="paragraph" w:styleId="Header">
    <w:name w:val="header"/>
    <w:basedOn w:val="Normal"/>
    <w:link w:val="HeaderChar"/>
    <w:uiPriority w:val="99"/>
    <w:unhideWhenUsed/>
    <w:rsid w:val="00EC5904"/>
    <w:pPr>
      <w:tabs>
        <w:tab w:val="center" w:pos="4819"/>
        <w:tab w:val="right" w:pos="9638"/>
      </w:tabs>
      <w:spacing w:after="0" w:line="240" w:lineRule="auto"/>
    </w:pPr>
  </w:style>
  <w:style w:type="character" w:customStyle="1" w:styleId="HeaderChar">
    <w:name w:val="Header Char"/>
    <w:basedOn w:val="DefaultParagraphFont"/>
    <w:link w:val="Header"/>
    <w:uiPriority w:val="99"/>
    <w:rsid w:val="00EC5904"/>
  </w:style>
  <w:style w:type="paragraph" w:styleId="Footer">
    <w:name w:val="footer"/>
    <w:basedOn w:val="Normal"/>
    <w:link w:val="FooterChar"/>
    <w:uiPriority w:val="99"/>
    <w:unhideWhenUsed/>
    <w:rsid w:val="00EC5904"/>
    <w:pPr>
      <w:tabs>
        <w:tab w:val="center" w:pos="4819"/>
        <w:tab w:val="right" w:pos="9638"/>
      </w:tabs>
      <w:spacing w:after="0" w:line="240" w:lineRule="auto"/>
    </w:pPr>
  </w:style>
  <w:style w:type="character" w:customStyle="1" w:styleId="FooterChar">
    <w:name w:val="Footer Char"/>
    <w:basedOn w:val="DefaultParagraphFont"/>
    <w:link w:val="Footer"/>
    <w:uiPriority w:val="99"/>
    <w:rsid w:val="00EC5904"/>
  </w:style>
  <w:style w:type="paragraph" w:styleId="FootnoteText">
    <w:name w:val="footnote text"/>
    <w:basedOn w:val="Normal"/>
    <w:link w:val="FootnoteTextChar"/>
    <w:uiPriority w:val="99"/>
    <w:unhideWhenUsed/>
    <w:rsid w:val="000B6496"/>
    <w:pPr>
      <w:spacing w:after="0" w:line="240" w:lineRule="auto"/>
    </w:pPr>
    <w:rPr>
      <w:sz w:val="20"/>
      <w:szCs w:val="20"/>
    </w:rPr>
  </w:style>
  <w:style w:type="character" w:customStyle="1" w:styleId="FootnoteTextChar">
    <w:name w:val="Footnote Text Char"/>
    <w:basedOn w:val="DefaultParagraphFont"/>
    <w:link w:val="FootnoteText"/>
    <w:uiPriority w:val="99"/>
    <w:rsid w:val="000B6496"/>
    <w:rPr>
      <w:sz w:val="20"/>
      <w:szCs w:val="20"/>
    </w:rPr>
  </w:style>
  <w:style w:type="character" w:styleId="FootnoteReference">
    <w:name w:val="footnote reference"/>
    <w:basedOn w:val="DefaultParagraphFont"/>
    <w:uiPriority w:val="99"/>
    <w:semiHidden/>
    <w:unhideWhenUsed/>
    <w:rsid w:val="000B6496"/>
    <w:rPr>
      <w:vertAlign w:val="superscript"/>
    </w:rPr>
  </w:style>
  <w:style w:type="character" w:styleId="Hyperlink">
    <w:name w:val="Hyperlink"/>
    <w:basedOn w:val="DefaultParagraphFont"/>
    <w:uiPriority w:val="99"/>
    <w:unhideWhenUsed/>
    <w:rsid w:val="000B6496"/>
    <w:rPr>
      <w:color w:val="0563C1" w:themeColor="hyperlink"/>
      <w:u w:val="single"/>
    </w:rPr>
  </w:style>
  <w:style w:type="character" w:customStyle="1" w:styleId="Ulstomtale1">
    <w:name w:val="Uløst omtale1"/>
    <w:basedOn w:val="DefaultParagraphFont"/>
    <w:uiPriority w:val="99"/>
    <w:rsid w:val="000B6496"/>
    <w:rPr>
      <w:color w:val="605E5C"/>
      <w:shd w:val="clear" w:color="auto" w:fill="E1DFDD"/>
    </w:rPr>
  </w:style>
  <w:style w:type="character" w:styleId="CommentReference">
    <w:name w:val="annotation reference"/>
    <w:basedOn w:val="DefaultParagraphFont"/>
    <w:uiPriority w:val="99"/>
    <w:semiHidden/>
    <w:unhideWhenUsed/>
    <w:rsid w:val="00F1557F"/>
    <w:rPr>
      <w:sz w:val="16"/>
      <w:szCs w:val="16"/>
    </w:rPr>
  </w:style>
  <w:style w:type="paragraph" w:styleId="CommentText">
    <w:name w:val="annotation text"/>
    <w:basedOn w:val="Normal"/>
    <w:link w:val="CommentTextChar"/>
    <w:uiPriority w:val="99"/>
    <w:unhideWhenUsed/>
    <w:rsid w:val="00F1557F"/>
    <w:pPr>
      <w:spacing w:line="240" w:lineRule="auto"/>
    </w:pPr>
    <w:rPr>
      <w:sz w:val="20"/>
      <w:szCs w:val="20"/>
    </w:rPr>
  </w:style>
  <w:style w:type="character" w:customStyle="1" w:styleId="CommentTextChar">
    <w:name w:val="Comment Text Char"/>
    <w:basedOn w:val="DefaultParagraphFont"/>
    <w:link w:val="CommentText"/>
    <w:uiPriority w:val="99"/>
    <w:rsid w:val="00F1557F"/>
    <w:rPr>
      <w:sz w:val="20"/>
      <w:szCs w:val="20"/>
    </w:rPr>
  </w:style>
  <w:style w:type="paragraph" w:styleId="CommentSubject">
    <w:name w:val="annotation subject"/>
    <w:basedOn w:val="CommentText"/>
    <w:next w:val="CommentText"/>
    <w:link w:val="CommentSubjectChar"/>
    <w:uiPriority w:val="99"/>
    <w:semiHidden/>
    <w:unhideWhenUsed/>
    <w:rsid w:val="00F1557F"/>
    <w:rPr>
      <w:b/>
      <w:bCs/>
    </w:rPr>
  </w:style>
  <w:style w:type="character" w:customStyle="1" w:styleId="CommentSubjectChar">
    <w:name w:val="Comment Subject Char"/>
    <w:basedOn w:val="CommentTextChar"/>
    <w:link w:val="CommentSubject"/>
    <w:uiPriority w:val="99"/>
    <w:semiHidden/>
    <w:rsid w:val="00F1557F"/>
    <w:rPr>
      <w:b/>
      <w:bCs/>
      <w:sz w:val="20"/>
      <w:szCs w:val="20"/>
    </w:rPr>
  </w:style>
  <w:style w:type="paragraph" w:styleId="BalloonText">
    <w:name w:val="Balloon Text"/>
    <w:basedOn w:val="Normal"/>
    <w:link w:val="BalloonTextChar"/>
    <w:uiPriority w:val="99"/>
    <w:semiHidden/>
    <w:unhideWhenUsed/>
    <w:rsid w:val="00F15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57F"/>
    <w:rPr>
      <w:rFonts w:ascii="Segoe UI" w:hAnsi="Segoe UI" w:cs="Segoe UI"/>
      <w:sz w:val="18"/>
      <w:szCs w:val="18"/>
    </w:rPr>
  </w:style>
  <w:style w:type="paragraph" w:styleId="Revision">
    <w:name w:val="Revision"/>
    <w:hidden/>
    <w:uiPriority w:val="99"/>
    <w:semiHidden/>
    <w:rsid w:val="002F2A98"/>
    <w:pPr>
      <w:spacing w:after="0" w:line="240" w:lineRule="auto"/>
    </w:pPr>
  </w:style>
  <w:style w:type="paragraph" w:styleId="NormalWeb">
    <w:name w:val="Normal (Web)"/>
    <w:basedOn w:val="Normal"/>
    <w:uiPriority w:val="99"/>
    <w:unhideWhenUsed/>
    <w:rsid w:val="00E9543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B2488D"/>
    <w:pPr>
      <w:spacing w:after="0" w:line="240" w:lineRule="auto"/>
    </w:pPr>
  </w:style>
  <w:style w:type="character" w:customStyle="1" w:styleId="UnresolvedMention">
    <w:name w:val="Unresolved Mention"/>
    <w:basedOn w:val="DefaultParagraphFont"/>
    <w:uiPriority w:val="99"/>
    <w:semiHidden/>
    <w:unhideWhenUsed/>
    <w:rsid w:val="009610EA"/>
    <w:rPr>
      <w:color w:val="605E5C"/>
      <w:shd w:val="clear" w:color="auto" w:fill="E1DFDD"/>
    </w:rPr>
  </w:style>
  <w:style w:type="character" w:customStyle="1" w:styleId="Heading1Char">
    <w:name w:val="Heading 1 Char"/>
    <w:basedOn w:val="DefaultParagraphFont"/>
    <w:link w:val="Heading1"/>
    <w:uiPriority w:val="9"/>
    <w:rsid w:val="00984FD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3946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32621">
      <w:bodyDiv w:val="1"/>
      <w:marLeft w:val="0"/>
      <w:marRight w:val="0"/>
      <w:marTop w:val="0"/>
      <w:marBottom w:val="0"/>
      <w:divBdr>
        <w:top w:val="none" w:sz="0" w:space="0" w:color="auto"/>
        <w:left w:val="none" w:sz="0" w:space="0" w:color="auto"/>
        <w:bottom w:val="none" w:sz="0" w:space="0" w:color="auto"/>
        <w:right w:val="none" w:sz="0" w:space="0" w:color="auto"/>
      </w:divBdr>
    </w:div>
    <w:div w:id="211187175">
      <w:bodyDiv w:val="1"/>
      <w:marLeft w:val="0"/>
      <w:marRight w:val="0"/>
      <w:marTop w:val="0"/>
      <w:marBottom w:val="0"/>
      <w:divBdr>
        <w:top w:val="none" w:sz="0" w:space="0" w:color="auto"/>
        <w:left w:val="none" w:sz="0" w:space="0" w:color="auto"/>
        <w:bottom w:val="none" w:sz="0" w:space="0" w:color="auto"/>
        <w:right w:val="none" w:sz="0" w:space="0" w:color="auto"/>
      </w:divBdr>
    </w:div>
    <w:div w:id="232400518">
      <w:bodyDiv w:val="1"/>
      <w:marLeft w:val="0"/>
      <w:marRight w:val="0"/>
      <w:marTop w:val="0"/>
      <w:marBottom w:val="0"/>
      <w:divBdr>
        <w:top w:val="none" w:sz="0" w:space="0" w:color="auto"/>
        <w:left w:val="none" w:sz="0" w:space="0" w:color="auto"/>
        <w:bottom w:val="none" w:sz="0" w:space="0" w:color="auto"/>
        <w:right w:val="none" w:sz="0" w:space="0" w:color="auto"/>
      </w:divBdr>
    </w:div>
    <w:div w:id="309599840">
      <w:bodyDiv w:val="1"/>
      <w:marLeft w:val="0"/>
      <w:marRight w:val="0"/>
      <w:marTop w:val="0"/>
      <w:marBottom w:val="0"/>
      <w:divBdr>
        <w:top w:val="none" w:sz="0" w:space="0" w:color="auto"/>
        <w:left w:val="none" w:sz="0" w:space="0" w:color="auto"/>
        <w:bottom w:val="none" w:sz="0" w:space="0" w:color="auto"/>
        <w:right w:val="none" w:sz="0" w:space="0" w:color="auto"/>
      </w:divBdr>
    </w:div>
    <w:div w:id="378674344">
      <w:bodyDiv w:val="1"/>
      <w:marLeft w:val="0"/>
      <w:marRight w:val="0"/>
      <w:marTop w:val="0"/>
      <w:marBottom w:val="0"/>
      <w:divBdr>
        <w:top w:val="none" w:sz="0" w:space="0" w:color="auto"/>
        <w:left w:val="none" w:sz="0" w:space="0" w:color="auto"/>
        <w:bottom w:val="none" w:sz="0" w:space="0" w:color="auto"/>
        <w:right w:val="none" w:sz="0" w:space="0" w:color="auto"/>
      </w:divBdr>
    </w:div>
    <w:div w:id="442695754">
      <w:bodyDiv w:val="1"/>
      <w:marLeft w:val="0"/>
      <w:marRight w:val="0"/>
      <w:marTop w:val="0"/>
      <w:marBottom w:val="0"/>
      <w:divBdr>
        <w:top w:val="none" w:sz="0" w:space="0" w:color="auto"/>
        <w:left w:val="none" w:sz="0" w:space="0" w:color="auto"/>
        <w:bottom w:val="none" w:sz="0" w:space="0" w:color="auto"/>
        <w:right w:val="none" w:sz="0" w:space="0" w:color="auto"/>
      </w:divBdr>
    </w:div>
    <w:div w:id="461504988">
      <w:bodyDiv w:val="1"/>
      <w:marLeft w:val="0"/>
      <w:marRight w:val="0"/>
      <w:marTop w:val="0"/>
      <w:marBottom w:val="0"/>
      <w:divBdr>
        <w:top w:val="none" w:sz="0" w:space="0" w:color="auto"/>
        <w:left w:val="none" w:sz="0" w:space="0" w:color="auto"/>
        <w:bottom w:val="none" w:sz="0" w:space="0" w:color="auto"/>
        <w:right w:val="none" w:sz="0" w:space="0" w:color="auto"/>
      </w:divBdr>
    </w:div>
    <w:div w:id="487790317">
      <w:bodyDiv w:val="1"/>
      <w:marLeft w:val="0"/>
      <w:marRight w:val="0"/>
      <w:marTop w:val="0"/>
      <w:marBottom w:val="0"/>
      <w:divBdr>
        <w:top w:val="none" w:sz="0" w:space="0" w:color="auto"/>
        <w:left w:val="none" w:sz="0" w:space="0" w:color="auto"/>
        <w:bottom w:val="none" w:sz="0" w:space="0" w:color="auto"/>
        <w:right w:val="none" w:sz="0" w:space="0" w:color="auto"/>
      </w:divBdr>
    </w:div>
    <w:div w:id="493033743">
      <w:bodyDiv w:val="1"/>
      <w:marLeft w:val="0"/>
      <w:marRight w:val="0"/>
      <w:marTop w:val="0"/>
      <w:marBottom w:val="0"/>
      <w:divBdr>
        <w:top w:val="none" w:sz="0" w:space="0" w:color="auto"/>
        <w:left w:val="none" w:sz="0" w:space="0" w:color="auto"/>
        <w:bottom w:val="none" w:sz="0" w:space="0" w:color="auto"/>
        <w:right w:val="none" w:sz="0" w:space="0" w:color="auto"/>
      </w:divBdr>
    </w:div>
    <w:div w:id="570851244">
      <w:bodyDiv w:val="1"/>
      <w:marLeft w:val="0"/>
      <w:marRight w:val="0"/>
      <w:marTop w:val="0"/>
      <w:marBottom w:val="0"/>
      <w:divBdr>
        <w:top w:val="none" w:sz="0" w:space="0" w:color="auto"/>
        <w:left w:val="none" w:sz="0" w:space="0" w:color="auto"/>
        <w:bottom w:val="none" w:sz="0" w:space="0" w:color="auto"/>
        <w:right w:val="none" w:sz="0" w:space="0" w:color="auto"/>
      </w:divBdr>
    </w:div>
    <w:div w:id="572935619">
      <w:bodyDiv w:val="1"/>
      <w:marLeft w:val="0"/>
      <w:marRight w:val="0"/>
      <w:marTop w:val="0"/>
      <w:marBottom w:val="0"/>
      <w:divBdr>
        <w:top w:val="none" w:sz="0" w:space="0" w:color="auto"/>
        <w:left w:val="none" w:sz="0" w:space="0" w:color="auto"/>
        <w:bottom w:val="none" w:sz="0" w:space="0" w:color="auto"/>
        <w:right w:val="none" w:sz="0" w:space="0" w:color="auto"/>
      </w:divBdr>
    </w:div>
    <w:div w:id="707684640">
      <w:bodyDiv w:val="1"/>
      <w:marLeft w:val="0"/>
      <w:marRight w:val="0"/>
      <w:marTop w:val="0"/>
      <w:marBottom w:val="0"/>
      <w:divBdr>
        <w:top w:val="none" w:sz="0" w:space="0" w:color="auto"/>
        <w:left w:val="none" w:sz="0" w:space="0" w:color="auto"/>
        <w:bottom w:val="none" w:sz="0" w:space="0" w:color="auto"/>
        <w:right w:val="none" w:sz="0" w:space="0" w:color="auto"/>
      </w:divBdr>
    </w:div>
    <w:div w:id="731580796">
      <w:bodyDiv w:val="1"/>
      <w:marLeft w:val="0"/>
      <w:marRight w:val="0"/>
      <w:marTop w:val="0"/>
      <w:marBottom w:val="0"/>
      <w:divBdr>
        <w:top w:val="none" w:sz="0" w:space="0" w:color="auto"/>
        <w:left w:val="none" w:sz="0" w:space="0" w:color="auto"/>
        <w:bottom w:val="none" w:sz="0" w:space="0" w:color="auto"/>
        <w:right w:val="none" w:sz="0" w:space="0" w:color="auto"/>
      </w:divBdr>
    </w:div>
    <w:div w:id="737745928">
      <w:bodyDiv w:val="1"/>
      <w:marLeft w:val="0"/>
      <w:marRight w:val="0"/>
      <w:marTop w:val="0"/>
      <w:marBottom w:val="0"/>
      <w:divBdr>
        <w:top w:val="none" w:sz="0" w:space="0" w:color="auto"/>
        <w:left w:val="none" w:sz="0" w:space="0" w:color="auto"/>
        <w:bottom w:val="none" w:sz="0" w:space="0" w:color="auto"/>
        <w:right w:val="none" w:sz="0" w:space="0" w:color="auto"/>
      </w:divBdr>
    </w:div>
    <w:div w:id="864364501">
      <w:bodyDiv w:val="1"/>
      <w:marLeft w:val="0"/>
      <w:marRight w:val="0"/>
      <w:marTop w:val="0"/>
      <w:marBottom w:val="0"/>
      <w:divBdr>
        <w:top w:val="none" w:sz="0" w:space="0" w:color="auto"/>
        <w:left w:val="none" w:sz="0" w:space="0" w:color="auto"/>
        <w:bottom w:val="none" w:sz="0" w:space="0" w:color="auto"/>
        <w:right w:val="none" w:sz="0" w:space="0" w:color="auto"/>
      </w:divBdr>
    </w:div>
    <w:div w:id="880092932">
      <w:bodyDiv w:val="1"/>
      <w:marLeft w:val="0"/>
      <w:marRight w:val="0"/>
      <w:marTop w:val="0"/>
      <w:marBottom w:val="0"/>
      <w:divBdr>
        <w:top w:val="none" w:sz="0" w:space="0" w:color="auto"/>
        <w:left w:val="none" w:sz="0" w:space="0" w:color="auto"/>
        <w:bottom w:val="none" w:sz="0" w:space="0" w:color="auto"/>
        <w:right w:val="none" w:sz="0" w:space="0" w:color="auto"/>
      </w:divBdr>
    </w:div>
    <w:div w:id="990527829">
      <w:bodyDiv w:val="1"/>
      <w:marLeft w:val="0"/>
      <w:marRight w:val="0"/>
      <w:marTop w:val="0"/>
      <w:marBottom w:val="0"/>
      <w:divBdr>
        <w:top w:val="none" w:sz="0" w:space="0" w:color="auto"/>
        <w:left w:val="none" w:sz="0" w:space="0" w:color="auto"/>
        <w:bottom w:val="none" w:sz="0" w:space="0" w:color="auto"/>
        <w:right w:val="none" w:sz="0" w:space="0" w:color="auto"/>
      </w:divBdr>
    </w:div>
    <w:div w:id="1104885105">
      <w:bodyDiv w:val="1"/>
      <w:marLeft w:val="0"/>
      <w:marRight w:val="0"/>
      <w:marTop w:val="0"/>
      <w:marBottom w:val="0"/>
      <w:divBdr>
        <w:top w:val="none" w:sz="0" w:space="0" w:color="auto"/>
        <w:left w:val="none" w:sz="0" w:space="0" w:color="auto"/>
        <w:bottom w:val="none" w:sz="0" w:space="0" w:color="auto"/>
        <w:right w:val="none" w:sz="0" w:space="0" w:color="auto"/>
      </w:divBdr>
    </w:div>
    <w:div w:id="1224751969">
      <w:bodyDiv w:val="1"/>
      <w:marLeft w:val="0"/>
      <w:marRight w:val="0"/>
      <w:marTop w:val="0"/>
      <w:marBottom w:val="0"/>
      <w:divBdr>
        <w:top w:val="none" w:sz="0" w:space="0" w:color="auto"/>
        <w:left w:val="none" w:sz="0" w:space="0" w:color="auto"/>
        <w:bottom w:val="none" w:sz="0" w:space="0" w:color="auto"/>
        <w:right w:val="none" w:sz="0" w:space="0" w:color="auto"/>
      </w:divBdr>
    </w:div>
    <w:div w:id="1240554309">
      <w:bodyDiv w:val="1"/>
      <w:marLeft w:val="0"/>
      <w:marRight w:val="0"/>
      <w:marTop w:val="0"/>
      <w:marBottom w:val="0"/>
      <w:divBdr>
        <w:top w:val="none" w:sz="0" w:space="0" w:color="auto"/>
        <w:left w:val="none" w:sz="0" w:space="0" w:color="auto"/>
        <w:bottom w:val="none" w:sz="0" w:space="0" w:color="auto"/>
        <w:right w:val="none" w:sz="0" w:space="0" w:color="auto"/>
      </w:divBdr>
    </w:div>
    <w:div w:id="1313605510">
      <w:bodyDiv w:val="1"/>
      <w:marLeft w:val="0"/>
      <w:marRight w:val="0"/>
      <w:marTop w:val="0"/>
      <w:marBottom w:val="0"/>
      <w:divBdr>
        <w:top w:val="none" w:sz="0" w:space="0" w:color="auto"/>
        <w:left w:val="none" w:sz="0" w:space="0" w:color="auto"/>
        <w:bottom w:val="none" w:sz="0" w:space="0" w:color="auto"/>
        <w:right w:val="none" w:sz="0" w:space="0" w:color="auto"/>
      </w:divBdr>
    </w:div>
    <w:div w:id="1339504667">
      <w:bodyDiv w:val="1"/>
      <w:marLeft w:val="0"/>
      <w:marRight w:val="0"/>
      <w:marTop w:val="0"/>
      <w:marBottom w:val="0"/>
      <w:divBdr>
        <w:top w:val="none" w:sz="0" w:space="0" w:color="auto"/>
        <w:left w:val="none" w:sz="0" w:space="0" w:color="auto"/>
        <w:bottom w:val="none" w:sz="0" w:space="0" w:color="auto"/>
        <w:right w:val="none" w:sz="0" w:space="0" w:color="auto"/>
      </w:divBdr>
    </w:div>
    <w:div w:id="1368065612">
      <w:bodyDiv w:val="1"/>
      <w:marLeft w:val="0"/>
      <w:marRight w:val="0"/>
      <w:marTop w:val="0"/>
      <w:marBottom w:val="0"/>
      <w:divBdr>
        <w:top w:val="none" w:sz="0" w:space="0" w:color="auto"/>
        <w:left w:val="none" w:sz="0" w:space="0" w:color="auto"/>
        <w:bottom w:val="none" w:sz="0" w:space="0" w:color="auto"/>
        <w:right w:val="none" w:sz="0" w:space="0" w:color="auto"/>
      </w:divBdr>
    </w:div>
    <w:div w:id="1597395773">
      <w:bodyDiv w:val="1"/>
      <w:marLeft w:val="0"/>
      <w:marRight w:val="0"/>
      <w:marTop w:val="0"/>
      <w:marBottom w:val="0"/>
      <w:divBdr>
        <w:top w:val="none" w:sz="0" w:space="0" w:color="auto"/>
        <w:left w:val="none" w:sz="0" w:space="0" w:color="auto"/>
        <w:bottom w:val="none" w:sz="0" w:space="0" w:color="auto"/>
        <w:right w:val="none" w:sz="0" w:space="0" w:color="auto"/>
      </w:divBdr>
    </w:div>
    <w:div w:id="1630549331">
      <w:bodyDiv w:val="1"/>
      <w:marLeft w:val="0"/>
      <w:marRight w:val="0"/>
      <w:marTop w:val="0"/>
      <w:marBottom w:val="0"/>
      <w:divBdr>
        <w:top w:val="none" w:sz="0" w:space="0" w:color="auto"/>
        <w:left w:val="none" w:sz="0" w:space="0" w:color="auto"/>
        <w:bottom w:val="none" w:sz="0" w:space="0" w:color="auto"/>
        <w:right w:val="none" w:sz="0" w:space="0" w:color="auto"/>
      </w:divBdr>
    </w:div>
    <w:div w:id="1670861940">
      <w:bodyDiv w:val="1"/>
      <w:marLeft w:val="0"/>
      <w:marRight w:val="0"/>
      <w:marTop w:val="0"/>
      <w:marBottom w:val="0"/>
      <w:divBdr>
        <w:top w:val="none" w:sz="0" w:space="0" w:color="auto"/>
        <w:left w:val="none" w:sz="0" w:space="0" w:color="auto"/>
        <w:bottom w:val="none" w:sz="0" w:space="0" w:color="auto"/>
        <w:right w:val="none" w:sz="0" w:space="0" w:color="auto"/>
      </w:divBdr>
    </w:div>
    <w:div w:id="1807352318">
      <w:bodyDiv w:val="1"/>
      <w:marLeft w:val="0"/>
      <w:marRight w:val="0"/>
      <w:marTop w:val="0"/>
      <w:marBottom w:val="0"/>
      <w:divBdr>
        <w:top w:val="none" w:sz="0" w:space="0" w:color="auto"/>
        <w:left w:val="none" w:sz="0" w:space="0" w:color="auto"/>
        <w:bottom w:val="none" w:sz="0" w:space="0" w:color="auto"/>
        <w:right w:val="none" w:sz="0" w:space="0" w:color="auto"/>
      </w:divBdr>
    </w:div>
    <w:div w:id="1816289870">
      <w:bodyDiv w:val="1"/>
      <w:marLeft w:val="0"/>
      <w:marRight w:val="0"/>
      <w:marTop w:val="0"/>
      <w:marBottom w:val="0"/>
      <w:divBdr>
        <w:top w:val="none" w:sz="0" w:space="0" w:color="auto"/>
        <w:left w:val="none" w:sz="0" w:space="0" w:color="auto"/>
        <w:bottom w:val="none" w:sz="0" w:space="0" w:color="auto"/>
        <w:right w:val="none" w:sz="0" w:space="0" w:color="auto"/>
      </w:divBdr>
    </w:div>
    <w:div w:id="1904020625">
      <w:bodyDiv w:val="1"/>
      <w:marLeft w:val="0"/>
      <w:marRight w:val="0"/>
      <w:marTop w:val="0"/>
      <w:marBottom w:val="0"/>
      <w:divBdr>
        <w:top w:val="none" w:sz="0" w:space="0" w:color="auto"/>
        <w:left w:val="none" w:sz="0" w:space="0" w:color="auto"/>
        <w:bottom w:val="none" w:sz="0" w:space="0" w:color="auto"/>
        <w:right w:val="none" w:sz="0" w:space="0" w:color="auto"/>
      </w:divBdr>
    </w:div>
    <w:div w:id="1906144226">
      <w:bodyDiv w:val="1"/>
      <w:marLeft w:val="0"/>
      <w:marRight w:val="0"/>
      <w:marTop w:val="0"/>
      <w:marBottom w:val="0"/>
      <w:divBdr>
        <w:top w:val="none" w:sz="0" w:space="0" w:color="auto"/>
        <w:left w:val="none" w:sz="0" w:space="0" w:color="auto"/>
        <w:bottom w:val="none" w:sz="0" w:space="0" w:color="auto"/>
        <w:right w:val="none" w:sz="0" w:space="0" w:color="auto"/>
      </w:divBdr>
    </w:div>
    <w:div w:id="1921330980">
      <w:bodyDiv w:val="1"/>
      <w:marLeft w:val="0"/>
      <w:marRight w:val="0"/>
      <w:marTop w:val="0"/>
      <w:marBottom w:val="0"/>
      <w:divBdr>
        <w:top w:val="none" w:sz="0" w:space="0" w:color="auto"/>
        <w:left w:val="none" w:sz="0" w:space="0" w:color="auto"/>
        <w:bottom w:val="none" w:sz="0" w:space="0" w:color="auto"/>
        <w:right w:val="none" w:sz="0" w:space="0" w:color="auto"/>
      </w:divBdr>
    </w:div>
    <w:div w:id="1957908827">
      <w:bodyDiv w:val="1"/>
      <w:marLeft w:val="0"/>
      <w:marRight w:val="0"/>
      <w:marTop w:val="0"/>
      <w:marBottom w:val="0"/>
      <w:divBdr>
        <w:top w:val="none" w:sz="0" w:space="0" w:color="auto"/>
        <w:left w:val="none" w:sz="0" w:space="0" w:color="auto"/>
        <w:bottom w:val="none" w:sz="0" w:space="0" w:color="auto"/>
        <w:right w:val="none" w:sz="0" w:space="0" w:color="auto"/>
      </w:divBdr>
    </w:div>
    <w:div w:id="1963656836">
      <w:bodyDiv w:val="1"/>
      <w:marLeft w:val="0"/>
      <w:marRight w:val="0"/>
      <w:marTop w:val="0"/>
      <w:marBottom w:val="0"/>
      <w:divBdr>
        <w:top w:val="none" w:sz="0" w:space="0" w:color="auto"/>
        <w:left w:val="none" w:sz="0" w:space="0" w:color="auto"/>
        <w:bottom w:val="none" w:sz="0" w:space="0" w:color="auto"/>
        <w:right w:val="none" w:sz="0" w:space="0" w:color="auto"/>
      </w:divBdr>
    </w:div>
    <w:div w:id="2079401911">
      <w:bodyDiv w:val="1"/>
      <w:marLeft w:val="0"/>
      <w:marRight w:val="0"/>
      <w:marTop w:val="0"/>
      <w:marBottom w:val="0"/>
      <w:divBdr>
        <w:top w:val="none" w:sz="0" w:space="0" w:color="auto"/>
        <w:left w:val="none" w:sz="0" w:space="0" w:color="auto"/>
        <w:bottom w:val="none" w:sz="0" w:space="0" w:color="auto"/>
        <w:right w:val="none" w:sz="0" w:space="0" w:color="auto"/>
      </w:divBdr>
    </w:div>
    <w:div w:id="21191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evoc.unesco.org/wtdb/worldtvetdatabase_nam_en.pdf"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esdoc.unesco.org/ark:/48223/pf00002458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iz.de/en/worldwide/323.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unevoc.unesco.org/wtdb/worldtvetdatabase_nam_en.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iz.de/en/worldwide/32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ACFEA-4FC2-4E7C-8B90-2711715B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3829</Words>
  <Characters>21828</Characters>
  <Application>Microsoft Office Word</Application>
  <DocSecurity>0</DocSecurity>
  <Lines>181</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Bo Poulsen</dc:creator>
  <cp:lastModifiedBy>Trutt, Werner</cp:lastModifiedBy>
  <cp:revision>2</cp:revision>
  <dcterms:created xsi:type="dcterms:W3CDTF">2022-07-20T16:27:00Z</dcterms:created>
  <dcterms:modified xsi:type="dcterms:W3CDTF">2022-07-20T16:27:00Z</dcterms:modified>
</cp:coreProperties>
</file>